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ind w:firstLine="560"/>
        <w:rPr>
          <w:rFonts w:ascii="华文中宋" w:hAnsi="华文中宋" w:eastAsia="华文中宋" w:cs="宋体"/>
          <w:b/>
          <w:color w:val="auto"/>
          <w:kern w:val="0"/>
          <w:sz w:val="52"/>
          <w:szCs w:val="52"/>
          <w:highlight w:val="none"/>
        </w:rPr>
      </w:pPr>
      <w:r>
        <w:rPr>
          <w:rFonts w:hint="eastAsia"/>
          <w:color w:val="auto"/>
          <w:highlight w:val="none"/>
        </w:rPr>
        <w:br w:type="textWrapping"/>
      </w:r>
    </w:p>
    <w:p>
      <w:pPr>
        <w:ind w:firstLine="1041"/>
        <w:rPr>
          <w:rFonts w:ascii="华文中宋" w:hAnsi="华文中宋" w:eastAsia="华文中宋" w:cs="宋体"/>
          <w:b/>
          <w:color w:val="auto"/>
          <w:kern w:val="0"/>
          <w:sz w:val="52"/>
          <w:szCs w:val="52"/>
          <w:highlight w:val="none"/>
        </w:rPr>
      </w:pPr>
    </w:p>
    <w:p>
      <w:pPr>
        <w:ind w:firstLine="0" w:firstLineChars="0"/>
        <w:jc w:val="center"/>
        <w:rPr>
          <w:rFonts w:ascii="华文中宋" w:hAnsi="华文中宋" w:eastAsia="华文中宋" w:cs="宋体"/>
          <w:b/>
          <w:color w:val="auto"/>
          <w:kern w:val="0"/>
          <w:sz w:val="52"/>
          <w:szCs w:val="52"/>
          <w:highlight w:val="none"/>
        </w:rPr>
      </w:pPr>
    </w:p>
    <w:p>
      <w:pPr>
        <w:ind w:firstLine="0" w:firstLineChars="0"/>
        <w:jc w:val="center"/>
        <w:rPr>
          <w:rFonts w:ascii="方正小标宋_GBK" w:hAnsi="华文中宋" w:eastAsia="方正小标宋_GBK" w:cs="宋体"/>
          <w:b/>
          <w:color w:val="auto"/>
          <w:kern w:val="0"/>
          <w:sz w:val="48"/>
          <w:szCs w:val="48"/>
          <w:highlight w:val="none"/>
        </w:rPr>
      </w:pPr>
      <w:r>
        <w:rPr>
          <w:rFonts w:hint="eastAsia" w:ascii="方正小标宋_GBK" w:hAnsi="华文中宋" w:eastAsia="方正小标宋_GBK" w:cs="宋体"/>
          <w:b/>
          <w:color w:val="auto"/>
          <w:kern w:val="0"/>
          <w:sz w:val="48"/>
          <w:szCs w:val="48"/>
          <w:highlight w:val="none"/>
        </w:rPr>
        <w:t>阿克苏地区部门单位整体支出绩效</w:t>
      </w:r>
    </w:p>
    <w:p>
      <w:pPr>
        <w:ind w:firstLine="0" w:firstLineChars="0"/>
        <w:jc w:val="center"/>
        <w:rPr>
          <w:rFonts w:ascii="方正小标宋_GBK" w:hAnsi="华文中宋" w:eastAsia="方正小标宋_GBK" w:cs="宋体"/>
          <w:b/>
          <w:color w:val="auto"/>
          <w:kern w:val="0"/>
          <w:sz w:val="48"/>
          <w:szCs w:val="48"/>
          <w:highlight w:val="none"/>
        </w:rPr>
      </w:pPr>
      <w:r>
        <w:rPr>
          <w:rFonts w:hint="eastAsia" w:ascii="方正小标宋_GBK" w:hAnsi="华文中宋" w:eastAsia="方正小标宋_GBK" w:cs="宋体"/>
          <w:b/>
          <w:color w:val="auto"/>
          <w:kern w:val="0"/>
          <w:sz w:val="48"/>
          <w:szCs w:val="48"/>
          <w:highlight w:val="none"/>
        </w:rPr>
        <w:t>自评报告</w:t>
      </w:r>
    </w:p>
    <w:p>
      <w:pPr>
        <w:ind w:firstLine="0" w:firstLineChars="0"/>
        <w:jc w:val="center"/>
        <w:rPr>
          <w:rFonts w:ascii="华文中宋" w:hAnsi="华文中宋" w:eastAsia="华文中宋" w:cs="宋体"/>
          <w:b/>
          <w:color w:val="auto"/>
          <w:kern w:val="0"/>
          <w:sz w:val="52"/>
          <w:szCs w:val="52"/>
          <w:highlight w:val="none"/>
        </w:rPr>
      </w:pPr>
    </w:p>
    <w:p>
      <w:pPr>
        <w:ind w:firstLine="0" w:firstLineChars="0"/>
        <w:jc w:val="center"/>
        <w:rPr>
          <w:rFonts w:hAnsi="宋体" w:eastAsia="仿宋_GB2312" w:cs="宋体"/>
          <w:color w:val="auto"/>
          <w:kern w:val="0"/>
          <w:sz w:val="36"/>
          <w:szCs w:val="36"/>
          <w:highlight w:val="none"/>
        </w:rPr>
      </w:pPr>
      <w:r>
        <w:rPr>
          <w:rFonts w:hint="eastAsia" w:hAnsi="宋体" w:eastAsia="仿宋_GB2312" w:cs="宋体"/>
          <w:color w:val="auto"/>
          <w:kern w:val="0"/>
          <w:sz w:val="36"/>
          <w:szCs w:val="36"/>
          <w:highlight w:val="none"/>
        </w:rPr>
        <w:t>（2019</w:t>
      </w:r>
      <w:r>
        <w:rPr>
          <w:rFonts w:hint="eastAsia" w:ascii="宋体" w:hAnsi="宋体" w:cs="宋体"/>
          <w:color w:val="auto"/>
          <w:kern w:val="0"/>
          <w:sz w:val="36"/>
          <w:szCs w:val="36"/>
          <w:highlight w:val="none"/>
        </w:rPr>
        <w:t>年度</w:t>
      </w:r>
      <w:r>
        <w:rPr>
          <w:rFonts w:hint="eastAsia" w:ascii="Malgun Gothic Semilight" w:hAnsi="Malgun Gothic Semilight" w:eastAsia="Malgun Gothic Semilight" w:cs="Malgun Gothic Semilight"/>
          <w:color w:val="auto"/>
          <w:kern w:val="0"/>
          <w:sz w:val="36"/>
          <w:szCs w:val="36"/>
          <w:highlight w:val="none"/>
        </w:rPr>
        <w:t>）</w:t>
      </w:r>
    </w:p>
    <w:p>
      <w:pPr>
        <w:ind w:firstLine="600"/>
        <w:jc w:val="center"/>
        <w:rPr>
          <w:rFonts w:hAnsi="宋体" w:eastAsia="仿宋_GB2312" w:cs="宋体"/>
          <w:color w:val="auto"/>
          <w:kern w:val="0"/>
          <w:sz w:val="30"/>
          <w:szCs w:val="30"/>
          <w:highlight w:val="none"/>
        </w:rPr>
      </w:pPr>
    </w:p>
    <w:p>
      <w:pPr>
        <w:spacing w:line="540" w:lineRule="exact"/>
        <w:ind w:firstLine="600"/>
        <w:jc w:val="center"/>
        <w:rPr>
          <w:rFonts w:hAnsi="宋体" w:eastAsia="仿宋_GB2312" w:cs="宋体"/>
          <w:color w:val="auto"/>
          <w:kern w:val="0"/>
          <w:sz w:val="30"/>
          <w:szCs w:val="30"/>
          <w:highlight w:val="none"/>
        </w:rPr>
      </w:pPr>
    </w:p>
    <w:p>
      <w:pPr>
        <w:spacing w:line="540" w:lineRule="exact"/>
        <w:ind w:firstLine="720"/>
        <w:jc w:val="center"/>
        <w:rPr>
          <w:rFonts w:ascii="方正小标宋_GBK" w:hAnsi="宋体" w:eastAsia="方正小标宋_GBK" w:cs="宋体"/>
          <w:color w:val="auto"/>
          <w:kern w:val="0"/>
          <w:sz w:val="36"/>
          <w:szCs w:val="36"/>
          <w:highlight w:val="none"/>
        </w:rPr>
      </w:pPr>
    </w:p>
    <w:p>
      <w:pPr>
        <w:spacing w:line="540" w:lineRule="exact"/>
        <w:ind w:firstLine="720"/>
        <w:jc w:val="center"/>
        <w:rPr>
          <w:rFonts w:ascii="方正小标宋_GBK" w:hAnsi="宋体" w:eastAsia="方正小标宋_GBK" w:cs="宋体"/>
          <w:color w:val="auto"/>
          <w:kern w:val="0"/>
          <w:sz w:val="36"/>
          <w:szCs w:val="36"/>
          <w:highlight w:val="none"/>
        </w:rPr>
      </w:pPr>
    </w:p>
    <w:p>
      <w:pPr>
        <w:spacing w:line="540" w:lineRule="exact"/>
        <w:ind w:firstLine="600"/>
        <w:jc w:val="center"/>
        <w:rPr>
          <w:rFonts w:hAnsi="宋体" w:eastAsia="仿宋_GB2312" w:cs="宋体"/>
          <w:color w:val="auto"/>
          <w:kern w:val="0"/>
          <w:sz w:val="30"/>
          <w:szCs w:val="30"/>
          <w:highlight w:val="none"/>
        </w:rPr>
      </w:pPr>
    </w:p>
    <w:p>
      <w:pPr>
        <w:spacing w:line="540" w:lineRule="exact"/>
        <w:ind w:firstLine="600"/>
        <w:jc w:val="center"/>
        <w:rPr>
          <w:rFonts w:hAnsi="宋体" w:eastAsia="仿宋_GB2312" w:cs="宋体"/>
          <w:color w:val="auto"/>
          <w:kern w:val="0"/>
          <w:sz w:val="30"/>
          <w:szCs w:val="30"/>
          <w:highlight w:val="none"/>
        </w:rPr>
      </w:pPr>
    </w:p>
    <w:p>
      <w:pPr>
        <w:spacing w:line="540" w:lineRule="exact"/>
        <w:ind w:firstLine="600"/>
        <w:rPr>
          <w:rFonts w:hAnsi="宋体" w:eastAsia="仿宋_GB2312" w:cs="宋体"/>
          <w:color w:val="auto"/>
          <w:kern w:val="0"/>
          <w:sz w:val="30"/>
          <w:szCs w:val="30"/>
          <w:highlight w:val="none"/>
        </w:rPr>
      </w:pPr>
    </w:p>
    <w:p>
      <w:pPr>
        <w:spacing w:line="700" w:lineRule="exact"/>
        <w:ind w:firstLine="720"/>
        <w:jc w:val="left"/>
        <w:rPr>
          <w:rFonts w:hAnsi="宋体" w:eastAsia="仿宋_GB2312" w:cs="宋体"/>
          <w:color w:val="auto"/>
          <w:kern w:val="0"/>
          <w:sz w:val="36"/>
          <w:szCs w:val="36"/>
          <w:highlight w:val="none"/>
        </w:rPr>
      </w:pPr>
    </w:p>
    <w:p>
      <w:pPr>
        <w:ind w:firstLine="723"/>
        <w:rPr>
          <w:rFonts w:ascii="黑体" w:hAnsi="黑体" w:eastAsia="黑体" w:cs="黑体"/>
          <w:b/>
          <w:bCs/>
          <w:color w:val="auto"/>
          <w:sz w:val="36"/>
          <w:szCs w:val="36"/>
          <w:highlight w:val="none"/>
        </w:rPr>
      </w:pPr>
      <w:r>
        <w:rPr>
          <w:rFonts w:hint="eastAsia" w:ascii="黑体" w:hAnsi="黑体" w:eastAsia="黑体" w:cs="黑体"/>
          <w:b/>
          <w:bCs/>
          <w:color w:val="auto"/>
          <w:sz w:val="36"/>
          <w:szCs w:val="36"/>
          <w:highlight w:val="none"/>
        </w:rPr>
        <w:t>部门单位名称（公章）：阿克苏职业技术学院</w:t>
      </w:r>
    </w:p>
    <w:p>
      <w:pPr>
        <w:ind w:firstLine="723"/>
        <w:rPr>
          <w:rFonts w:ascii="黑体" w:hAnsi="黑体" w:eastAsia="黑体" w:cs="黑体"/>
          <w:b/>
          <w:bCs/>
          <w:color w:val="auto"/>
          <w:sz w:val="36"/>
          <w:szCs w:val="36"/>
          <w:highlight w:val="none"/>
        </w:rPr>
      </w:pPr>
      <w:r>
        <w:rPr>
          <w:rFonts w:hint="eastAsia" w:ascii="黑体" w:hAnsi="黑体" w:eastAsia="黑体" w:cs="黑体"/>
          <w:b/>
          <w:bCs/>
          <w:color w:val="auto"/>
          <w:sz w:val="36"/>
          <w:szCs w:val="36"/>
          <w:highlight w:val="none"/>
        </w:rPr>
        <w:t>填报时间：2020年5月8日</w:t>
      </w:r>
    </w:p>
    <w:p>
      <w:pPr>
        <w:spacing w:line="700" w:lineRule="exact"/>
        <w:ind w:firstLine="849" w:firstLineChars="236"/>
        <w:jc w:val="left"/>
        <w:rPr>
          <w:rFonts w:hAnsi="宋体" w:eastAsia="仿宋_GB2312" w:cs="宋体"/>
          <w:color w:val="auto"/>
          <w:kern w:val="0"/>
          <w:sz w:val="36"/>
          <w:szCs w:val="36"/>
          <w:highlight w:val="none"/>
        </w:rPr>
      </w:pPr>
    </w:p>
    <w:p>
      <w:pPr>
        <w:ind w:firstLine="560"/>
        <w:rPr>
          <w:color w:val="auto"/>
          <w:highlight w:val="none"/>
        </w:rPr>
      </w:pPr>
    </w:p>
    <w:p>
      <w:pPr>
        <w:ind w:firstLine="560"/>
        <w:rPr>
          <w:color w:val="auto"/>
          <w:highlight w:val="none"/>
        </w:rPr>
      </w:pPr>
      <w:r>
        <w:rPr>
          <w:rFonts w:hint="eastAsia"/>
          <w:color w:val="auto"/>
          <w:highlight w:val="none"/>
        </w:rPr>
        <w:br w:type="page"/>
      </w:r>
    </w:p>
    <w:p>
      <w:pPr>
        <w:pStyle w:val="3"/>
        <w:ind w:firstLine="562"/>
        <w:rPr>
          <w:color w:val="auto"/>
          <w:highlight w:val="none"/>
        </w:rPr>
      </w:pPr>
      <w:r>
        <w:rPr>
          <w:rFonts w:hint="eastAsia"/>
          <w:color w:val="auto"/>
          <w:highlight w:val="none"/>
        </w:rPr>
        <w:t>一、基本概况</w:t>
      </w:r>
    </w:p>
    <w:p>
      <w:pPr>
        <w:pStyle w:val="4"/>
        <w:ind w:firstLine="643"/>
        <w:rPr>
          <w:color w:val="auto"/>
          <w:highlight w:val="none"/>
        </w:rPr>
      </w:pPr>
      <w:r>
        <w:rPr>
          <w:rFonts w:hint="eastAsia"/>
          <w:color w:val="auto"/>
          <w:highlight w:val="none"/>
        </w:rPr>
        <w:t>（一）部门单位基本情况</w:t>
      </w:r>
    </w:p>
    <w:p>
      <w:pPr>
        <w:ind w:firstLine="560"/>
        <w:rPr>
          <w:color w:val="auto"/>
          <w:highlight w:val="none"/>
        </w:rPr>
      </w:pPr>
      <w:r>
        <w:rPr>
          <w:rFonts w:hint="eastAsia"/>
          <w:color w:val="auto"/>
          <w:highlight w:val="none"/>
        </w:rPr>
        <w:t>（1）主要职能</w:t>
      </w:r>
    </w:p>
    <w:p>
      <w:pPr>
        <w:pStyle w:val="2"/>
        <w:ind w:firstLine="560"/>
        <w:rPr>
          <w:rFonts w:ascii="仿宋" w:hAnsi="仿宋" w:eastAsia="仿宋"/>
          <w:b w:val="0"/>
          <w:bCs w:val="0"/>
          <w:color w:val="auto"/>
          <w:szCs w:val="24"/>
          <w:highlight w:val="none"/>
        </w:rPr>
      </w:pPr>
      <w:r>
        <w:rPr>
          <w:rFonts w:hint="eastAsia" w:ascii="仿宋" w:hAnsi="仿宋" w:eastAsia="仿宋"/>
          <w:b w:val="0"/>
          <w:bCs w:val="0"/>
          <w:color w:val="auto"/>
          <w:szCs w:val="24"/>
          <w:highlight w:val="none"/>
        </w:rPr>
        <w:t>学院的职能是贯彻国家教育方针，执行国家教育教学标准，依据《中华人民共和国教育法》和《中华人民共和国职业教育法》开展职业中等专业学历教育和相关职业教育，提高教育教学质量和办学效益，培养以全面素质为基础、以能力为本位的高素质劳动者和中、初级专门人才。学院以提升质量为核心，加强创新人才为模式，提高科技创新能力，为建设创新型国家做出贡献。积极发挥知识和科研优势，服务新疆经济社会发展，积极推进社会主义文化大发展、大繁荣，发挥文化和传承和创新职能。</w:t>
      </w:r>
    </w:p>
    <w:p>
      <w:pPr>
        <w:ind w:firstLine="560"/>
        <w:rPr>
          <w:rFonts w:ascii="仿宋_GB2312" w:hAnsi="仿宋_GB2312" w:eastAsia="仿宋_GB2312" w:cs="仿宋_GB2312"/>
          <w:bCs/>
          <w:color w:val="auto"/>
          <w:szCs w:val="28"/>
          <w:highlight w:val="none"/>
        </w:rPr>
      </w:pPr>
      <w:r>
        <w:rPr>
          <w:rFonts w:hint="eastAsia"/>
          <w:color w:val="auto"/>
          <w:highlight w:val="none"/>
        </w:rPr>
        <w:t>（2）机构设置及人员情</w:t>
      </w:r>
      <w:r>
        <w:rPr>
          <w:rFonts w:hint="eastAsia" w:ascii="仿宋_GB2312" w:hAnsi="仿宋_GB2312" w:eastAsia="仿宋_GB2312" w:cs="仿宋_GB2312"/>
          <w:bCs/>
          <w:color w:val="auto"/>
          <w:szCs w:val="28"/>
          <w:highlight w:val="none"/>
        </w:rPr>
        <w:t>况</w:t>
      </w:r>
    </w:p>
    <w:p>
      <w:pPr>
        <w:pStyle w:val="2"/>
        <w:ind w:firstLine="560"/>
        <w:rPr>
          <w:rFonts w:ascii="仿宋" w:hAnsi="仿宋" w:eastAsia="仿宋"/>
          <w:b w:val="0"/>
          <w:bCs w:val="0"/>
          <w:color w:val="auto"/>
          <w:szCs w:val="24"/>
          <w:highlight w:val="none"/>
        </w:rPr>
      </w:pPr>
      <w:r>
        <w:rPr>
          <w:rFonts w:hint="eastAsia" w:ascii="仿宋" w:hAnsi="仿宋" w:eastAsia="仿宋"/>
          <w:b w:val="0"/>
          <w:bCs w:val="0"/>
          <w:color w:val="auto"/>
          <w:szCs w:val="24"/>
          <w:highlight w:val="none"/>
        </w:rPr>
        <w:t>学院下设11个系（部）、12个行政处室，地区编委核定事业编制610名，截止2019 年10月，在职（在编）人员为565人，离休人员4人，退休人员275人。</w:t>
      </w:r>
    </w:p>
    <w:p>
      <w:pPr>
        <w:numPr>
          <w:ilvl w:val="0"/>
          <w:numId w:val="1"/>
        </w:numPr>
        <w:ind w:firstLine="560"/>
        <w:rPr>
          <w:rFonts w:ascii="仿宋_GB2312" w:hAnsi="仿宋_GB2312" w:eastAsia="仿宋_GB2312" w:cs="仿宋_GB2312"/>
          <w:bCs/>
          <w:color w:val="auto"/>
          <w:szCs w:val="28"/>
          <w:highlight w:val="none"/>
        </w:rPr>
      </w:pPr>
      <w:r>
        <w:rPr>
          <w:rFonts w:hint="eastAsia" w:ascii="仿宋_GB2312" w:hAnsi="仿宋_GB2312" w:eastAsia="仿宋_GB2312" w:cs="仿宋_GB2312"/>
          <w:bCs/>
          <w:color w:val="auto"/>
          <w:szCs w:val="28"/>
          <w:highlight w:val="none"/>
        </w:rPr>
        <w:t>年度重点工作计划</w:t>
      </w:r>
    </w:p>
    <w:p>
      <w:pPr>
        <w:pStyle w:val="4"/>
        <w:ind w:firstLine="560"/>
        <w:rPr>
          <w:rFonts w:ascii="仿宋_GB2312" w:hAnsi="仿宋_GB2312" w:eastAsia="仿宋_GB2312" w:cs="仿宋_GB2312"/>
          <w:b w:val="0"/>
          <w:bCs/>
          <w:color w:val="auto"/>
          <w:sz w:val="28"/>
          <w:szCs w:val="28"/>
          <w:highlight w:val="none"/>
        </w:rPr>
      </w:pPr>
      <w:r>
        <w:rPr>
          <w:rFonts w:hint="eastAsia" w:ascii="仿宋_GB2312" w:hAnsi="仿宋_GB2312" w:eastAsia="仿宋_GB2312" w:cs="仿宋_GB2312"/>
          <w:b w:val="0"/>
          <w:bCs/>
          <w:color w:val="auto"/>
          <w:sz w:val="28"/>
          <w:szCs w:val="28"/>
          <w:highlight w:val="none"/>
        </w:rPr>
        <w:t>大力发展职业教育,积极开展职业技能培训。加大护理、学前教育、现代纺织技术和园艺技术等重点专业建设的力度、凝练特色专业的内涵，提升专业服务地方产业发展的能力。</w:t>
      </w:r>
    </w:p>
    <w:p>
      <w:pPr>
        <w:pStyle w:val="4"/>
        <w:ind w:firstLine="643"/>
        <w:rPr>
          <w:color w:val="auto"/>
          <w:highlight w:val="none"/>
        </w:rPr>
      </w:pPr>
      <w:r>
        <w:rPr>
          <w:rFonts w:hint="eastAsia"/>
          <w:color w:val="auto"/>
          <w:highlight w:val="none"/>
        </w:rPr>
        <w:t>（二）部门单位整体支出规模、使用方法和主要内容、涉及范围</w:t>
      </w:r>
    </w:p>
    <w:p>
      <w:pPr>
        <w:ind w:firstLine="560"/>
        <w:rPr>
          <w:color w:val="auto"/>
          <w:highlight w:val="none"/>
        </w:rPr>
      </w:pPr>
      <w:r>
        <w:rPr>
          <w:rFonts w:hint="eastAsia"/>
          <w:color w:val="auto"/>
          <w:highlight w:val="none"/>
        </w:rPr>
        <w:t>2019年度阿克苏职业技术学院预算总额为30587.2万元，其中年初预算总额为11354.08万元，调整预算总额为19233.12万元；实际支出为29092.13万元，预算总执行率为95.11%。主要支出内容包括：工资福利支出7963.41万元、商品服务支出3431.72万元、对个人和家庭补助支出37</w:t>
      </w:r>
      <w:r>
        <w:rPr>
          <w:rFonts w:hint="eastAsia"/>
          <w:color w:val="auto"/>
          <w:highlight w:val="none"/>
          <w:lang w:val="en-US" w:eastAsia="zh-CN"/>
        </w:rPr>
        <w:t>19.12</w:t>
      </w:r>
      <w:r>
        <w:rPr>
          <w:rFonts w:hint="eastAsia"/>
          <w:color w:val="auto"/>
          <w:highlight w:val="none"/>
        </w:rPr>
        <w:t>万元、资本性支出13926.08万元。</w:t>
      </w:r>
    </w:p>
    <w:p>
      <w:pPr>
        <w:pStyle w:val="3"/>
        <w:ind w:firstLine="562"/>
        <w:rPr>
          <w:color w:val="auto"/>
          <w:highlight w:val="none"/>
        </w:rPr>
      </w:pPr>
      <w:r>
        <w:rPr>
          <w:rFonts w:hint="eastAsia"/>
          <w:color w:val="auto"/>
          <w:highlight w:val="none"/>
        </w:rPr>
        <w:t>二、部门单位整体支出管理及使用情况</w:t>
      </w:r>
    </w:p>
    <w:p>
      <w:pPr>
        <w:pStyle w:val="4"/>
        <w:ind w:firstLine="643"/>
        <w:rPr>
          <w:rFonts w:ascii="Cambria" w:hAnsi="Cambria"/>
          <w:color w:val="auto"/>
          <w:highlight w:val="none"/>
        </w:rPr>
      </w:pPr>
      <w:r>
        <w:rPr>
          <w:rFonts w:hint="eastAsia"/>
          <w:color w:val="auto"/>
          <w:highlight w:val="none"/>
        </w:rPr>
        <w:t>（一）</w:t>
      </w:r>
      <w:r>
        <w:rPr>
          <w:rFonts w:hint="eastAsia" w:ascii="Cambria" w:hAnsi="Cambria"/>
          <w:color w:val="auto"/>
          <w:highlight w:val="none"/>
        </w:rPr>
        <w:t>基本支出预算安排及支出情况</w:t>
      </w:r>
    </w:p>
    <w:p>
      <w:pPr>
        <w:ind w:firstLine="560"/>
        <w:rPr>
          <w:color w:val="auto"/>
          <w:highlight w:val="none"/>
        </w:rPr>
      </w:pPr>
      <w:r>
        <w:rPr>
          <w:rFonts w:hint="eastAsia"/>
          <w:color w:val="auto"/>
          <w:highlight w:val="none"/>
        </w:rPr>
        <w:t>2019年</w:t>
      </w:r>
      <w:r>
        <w:rPr>
          <w:rFonts w:hint="eastAsia"/>
          <w:color w:val="auto"/>
          <w:highlight w:val="none"/>
        </w:rPr>
        <w:t>阿克苏职业技术学院</w:t>
      </w:r>
      <w:r>
        <w:rPr>
          <w:rFonts w:hint="eastAsia"/>
          <w:color w:val="auto"/>
          <w:highlight w:val="none"/>
        </w:rPr>
        <w:t>基本支出预算金额为</w:t>
      </w:r>
      <w:r>
        <w:rPr>
          <w:rFonts w:hint="eastAsia"/>
          <w:color w:val="auto"/>
          <w:highlight w:val="none"/>
        </w:rPr>
        <w:t>9881.97万元</w:t>
      </w:r>
      <w:r>
        <w:rPr>
          <w:rFonts w:hint="eastAsia"/>
          <w:color w:val="auto"/>
          <w:highlight w:val="none"/>
        </w:rPr>
        <w:t>，</w:t>
      </w:r>
      <w:r>
        <w:rPr>
          <w:rFonts w:hint="eastAsia"/>
          <w:color w:val="auto"/>
          <w:highlight w:val="none"/>
        </w:rPr>
        <w:t>其中年初</w:t>
      </w:r>
      <w:r>
        <w:rPr>
          <w:rFonts w:hint="eastAsia"/>
          <w:color w:val="auto"/>
          <w:highlight w:val="none"/>
        </w:rPr>
        <w:t>基本支出预算金额</w:t>
      </w:r>
      <w:r>
        <w:rPr>
          <w:rFonts w:hint="eastAsia"/>
          <w:color w:val="auto"/>
          <w:highlight w:val="none"/>
        </w:rPr>
        <w:t>为9874.08万元，调整基本支出预算金额为7.89万元，基本支出主要包括</w:t>
      </w:r>
      <w:r>
        <w:rPr>
          <w:rFonts w:hint="eastAsia"/>
          <w:color w:val="auto"/>
          <w:highlight w:val="none"/>
        </w:rPr>
        <w:t>人员经费</w:t>
      </w:r>
      <w:r>
        <w:rPr>
          <w:rFonts w:hint="eastAsia"/>
          <w:color w:val="auto"/>
          <w:highlight w:val="none"/>
        </w:rPr>
        <w:t>9207.89万元</w:t>
      </w:r>
      <w:r>
        <w:rPr>
          <w:rFonts w:hint="eastAsia"/>
          <w:color w:val="auto"/>
          <w:highlight w:val="none"/>
        </w:rPr>
        <w:t>，公用经费</w:t>
      </w:r>
      <w:r>
        <w:rPr>
          <w:rFonts w:hint="eastAsia"/>
          <w:color w:val="auto"/>
          <w:highlight w:val="none"/>
        </w:rPr>
        <w:t>674.08万元</w:t>
      </w:r>
      <w:r>
        <w:rPr>
          <w:rFonts w:hint="eastAsia"/>
          <w:color w:val="auto"/>
          <w:highlight w:val="none"/>
        </w:rPr>
        <w:t>。实际执行金额为</w:t>
      </w:r>
      <w:r>
        <w:rPr>
          <w:rFonts w:hint="eastAsia"/>
          <w:color w:val="auto"/>
          <w:highlight w:val="none"/>
        </w:rPr>
        <w:t>9881.97万元</w:t>
      </w:r>
      <w:r>
        <w:rPr>
          <w:rFonts w:hint="eastAsia"/>
          <w:color w:val="auto"/>
          <w:highlight w:val="none"/>
        </w:rPr>
        <w:t>，预算执行率</w:t>
      </w:r>
      <w:r>
        <w:rPr>
          <w:rFonts w:hint="eastAsia"/>
          <w:color w:val="auto"/>
          <w:highlight w:val="none"/>
        </w:rPr>
        <w:t>100%</w:t>
      </w:r>
      <w:r>
        <w:rPr>
          <w:rFonts w:hint="eastAsia"/>
          <w:color w:val="auto"/>
          <w:highlight w:val="none"/>
        </w:rPr>
        <w:t>。</w:t>
      </w:r>
    </w:p>
    <w:p>
      <w:pPr>
        <w:pStyle w:val="4"/>
        <w:ind w:firstLine="643"/>
        <w:rPr>
          <w:color w:val="auto"/>
          <w:highlight w:val="none"/>
        </w:rPr>
      </w:pPr>
      <w:r>
        <w:rPr>
          <w:rFonts w:hint="eastAsia"/>
          <w:color w:val="auto"/>
          <w:highlight w:val="none"/>
        </w:rPr>
        <w:t>（二）项目支出</w:t>
      </w:r>
      <w:r>
        <w:rPr>
          <w:rFonts w:hint="eastAsia" w:ascii="Cambria" w:hAnsi="Cambria"/>
          <w:color w:val="auto"/>
          <w:highlight w:val="none"/>
        </w:rPr>
        <w:t>预算安排及支出情况</w:t>
      </w:r>
    </w:p>
    <w:p>
      <w:pPr>
        <w:ind w:firstLine="560"/>
        <w:rPr>
          <w:color w:val="auto"/>
          <w:highlight w:val="none"/>
        </w:rPr>
      </w:pPr>
      <w:r>
        <w:rPr>
          <w:rFonts w:hint="eastAsia"/>
          <w:color w:val="auto"/>
          <w:highlight w:val="none"/>
        </w:rPr>
        <w:t>2019年</w:t>
      </w:r>
      <w:r>
        <w:rPr>
          <w:rFonts w:hint="eastAsia"/>
          <w:color w:val="auto"/>
          <w:highlight w:val="none"/>
        </w:rPr>
        <w:t>阿克苏职业技术学院</w:t>
      </w:r>
      <w:r>
        <w:rPr>
          <w:rFonts w:hint="eastAsia"/>
          <w:color w:val="auto"/>
          <w:highlight w:val="none"/>
        </w:rPr>
        <w:t>项目支出预算金额为</w:t>
      </w:r>
      <w:r>
        <w:rPr>
          <w:rFonts w:hint="eastAsia"/>
          <w:color w:val="auto"/>
          <w:highlight w:val="none"/>
        </w:rPr>
        <w:t>20705.23万元</w:t>
      </w:r>
      <w:r>
        <w:rPr>
          <w:rFonts w:hint="eastAsia"/>
          <w:color w:val="auto"/>
          <w:highlight w:val="none"/>
        </w:rPr>
        <w:t>，</w:t>
      </w:r>
      <w:r>
        <w:rPr>
          <w:rFonts w:hint="eastAsia"/>
          <w:color w:val="auto"/>
          <w:highlight w:val="none"/>
        </w:rPr>
        <w:t>其中年初</w:t>
      </w:r>
      <w:r>
        <w:rPr>
          <w:rFonts w:hint="eastAsia"/>
          <w:color w:val="auto"/>
          <w:highlight w:val="none"/>
        </w:rPr>
        <w:t>项目支出预算金额</w:t>
      </w:r>
      <w:r>
        <w:rPr>
          <w:rFonts w:hint="eastAsia"/>
          <w:color w:val="auto"/>
          <w:highlight w:val="none"/>
        </w:rPr>
        <w:t>为1480万元，调整项目支出预算金额为19225.23万元，</w:t>
      </w:r>
      <w:r>
        <w:rPr>
          <w:rFonts w:hint="eastAsia"/>
          <w:color w:val="auto"/>
          <w:highlight w:val="none"/>
        </w:rPr>
        <w:t>实际执行金额为</w:t>
      </w:r>
      <w:r>
        <w:rPr>
          <w:rFonts w:hint="eastAsia"/>
          <w:color w:val="auto"/>
          <w:highlight w:val="none"/>
        </w:rPr>
        <w:t>19210.16万元</w:t>
      </w:r>
      <w:r>
        <w:rPr>
          <w:rFonts w:hint="eastAsia"/>
          <w:color w:val="auto"/>
          <w:highlight w:val="none"/>
        </w:rPr>
        <w:t>，预算执行率为</w:t>
      </w:r>
      <w:r>
        <w:rPr>
          <w:rFonts w:hint="eastAsia"/>
          <w:color w:val="auto"/>
          <w:highlight w:val="none"/>
        </w:rPr>
        <w:t>91.41%</w:t>
      </w:r>
      <w:r>
        <w:rPr>
          <w:rFonts w:hint="eastAsia"/>
          <w:color w:val="auto"/>
          <w:highlight w:val="none"/>
        </w:rPr>
        <w:t>。</w:t>
      </w:r>
    </w:p>
    <w:p>
      <w:pPr>
        <w:pStyle w:val="2"/>
        <w:ind w:firstLine="560"/>
        <w:rPr>
          <w:rFonts w:ascii="仿宋" w:hAnsi="仿宋" w:eastAsia="仿宋"/>
          <w:b w:val="0"/>
          <w:bCs w:val="0"/>
          <w:color w:val="auto"/>
          <w:szCs w:val="24"/>
          <w:highlight w:val="none"/>
        </w:rPr>
      </w:pPr>
      <w:r>
        <w:rPr>
          <w:rFonts w:hint="eastAsia" w:ascii="仿宋" w:hAnsi="仿宋" w:eastAsia="仿宋"/>
          <w:b w:val="0"/>
          <w:bCs w:val="0"/>
          <w:color w:val="auto"/>
          <w:szCs w:val="24"/>
          <w:highlight w:val="none"/>
        </w:rPr>
        <w:t>中央、自治区、地区本级财力安排项目支出情况。2019年阿克苏职业技术学院共有</w:t>
      </w:r>
      <w:r>
        <w:rPr>
          <w:rFonts w:hint="eastAsia" w:ascii="仿宋" w:hAnsi="仿宋" w:eastAsia="仿宋"/>
          <w:b w:val="0"/>
          <w:bCs w:val="0"/>
          <w:color w:val="auto"/>
          <w:szCs w:val="24"/>
          <w:highlight w:val="none"/>
        </w:rPr>
        <w:t>63</w:t>
      </w:r>
      <w:r>
        <w:rPr>
          <w:rFonts w:hint="eastAsia" w:ascii="仿宋" w:hAnsi="仿宋" w:eastAsia="仿宋"/>
          <w:b w:val="0"/>
          <w:bCs w:val="0"/>
          <w:color w:val="auto"/>
          <w:szCs w:val="24"/>
          <w:highlight w:val="none"/>
        </w:rPr>
        <w:t>个中央、自治区、地区本级财力安排项目，已完成项目数量</w:t>
      </w:r>
      <w:r>
        <w:rPr>
          <w:rFonts w:hint="eastAsia" w:ascii="仿宋" w:hAnsi="仿宋" w:eastAsia="仿宋"/>
          <w:b w:val="0"/>
          <w:bCs w:val="0"/>
          <w:color w:val="auto"/>
          <w:szCs w:val="24"/>
          <w:highlight w:val="none"/>
        </w:rPr>
        <w:t>52</w:t>
      </w:r>
      <w:r>
        <w:rPr>
          <w:rFonts w:hint="eastAsia" w:ascii="仿宋" w:hAnsi="仿宋" w:eastAsia="仿宋"/>
          <w:b w:val="0"/>
          <w:bCs w:val="0"/>
          <w:color w:val="auto"/>
          <w:szCs w:val="24"/>
          <w:highlight w:val="none"/>
        </w:rPr>
        <w:t>个、未完成项目数量</w:t>
      </w:r>
      <w:r>
        <w:rPr>
          <w:rFonts w:hint="eastAsia" w:ascii="仿宋" w:hAnsi="仿宋" w:eastAsia="仿宋"/>
          <w:b w:val="0"/>
          <w:bCs w:val="0"/>
          <w:color w:val="auto"/>
          <w:szCs w:val="24"/>
          <w:highlight w:val="none"/>
        </w:rPr>
        <w:t>11</w:t>
      </w:r>
      <w:r>
        <w:rPr>
          <w:rFonts w:hint="eastAsia" w:ascii="仿宋" w:hAnsi="仿宋" w:eastAsia="仿宋"/>
          <w:b w:val="0"/>
          <w:bCs w:val="0"/>
          <w:color w:val="auto"/>
          <w:szCs w:val="24"/>
          <w:highlight w:val="none"/>
        </w:rPr>
        <w:t>个。2019年度中央、自治区、地区本级财力安排项目预算及执行情况见下表。</w:t>
      </w:r>
    </w:p>
    <w:tbl>
      <w:tblPr>
        <w:tblStyle w:val="9"/>
        <w:tblW w:w="8522" w:type="dxa"/>
        <w:tblInd w:w="0" w:type="dxa"/>
        <w:tblLayout w:type="fixed"/>
        <w:tblCellMar>
          <w:top w:w="0" w:type="dxa"/>
          <w:left w:w="108" w:type="dxa"/>
          <w:bottom w:w="0" w:type="dxa"/>
          <w:right w:w="108" w:type="dxa"/>
        </w:tblCellMar>
      </w:tblPr>
      <w:tblGrid>
        <w:gridCol w:w="1581"/>
        <w:gridCol w:w="1581"/>
        <w:gridCol w:w="1582"/>
        <w:gridCol w:w="1260"/>
        <w:gridCol w:w="1730"/>
        <w:gridCol w:w="788"/>
      </w:tblGrid>
      <w:tr>
        <w:tblPrEx>
          <w:tblCellMar>
            <w:top w:w="0" w:type="dxa"/>
            <w:left w:w="108" w:type="dxa"/>
            <w:bottom w:w="0" w:type="dxa"/>
            <w:right w:w="108" w:type="dxa"/>
          </w:tblCellMar>
        </w:tblPrEx>
        <w:trPr>
          <w:trHeight w:val="397" w:hRule="atLeast"/>
          <w:tblHeader/>
        </w:trPr>
        <w:tc>
          <w:tcPr>
            <w:tcW w:w="1581"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b/>
                <w:bCs/>
                <w:color w:val="auto"/>
                <w:kern w:val="0"/>
                <w:sz w:val="24"/>
                <w:highlight w:val="none"/>
              </w:rPr>
            </w:pPr>
            <w:r>
              <w:rPr>
                <w:rFonts w:hint="eastAsia" w:hAnsi="宋体" w:cs="宋体"/>
                <w:b/>
                <w:bCs/>
                <w:color w:val="auto"/>
                <w:kern w:val="0"/>
                <w:sz w:val="24"/>
                <w:highlight w:val="none"/>
              </w:rPr>
              <w:t>项目名称</w:t>
            </w:r>
          </w:p>
        </w:tc>
        <w:tc>
          <w:tcPr>
            <w:tcW w:w="1581" w:type="dxa"/>
            <w:tcBorders>
              <w:top w:val="single" w:color="auto" w:sz="8" w:space="0"/>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b/>
                <w:bCs/>
                <w:color w:val="auto"/>
                <w:kern w:val="0"/>
                <w:sz w:val="24"/>
                <w:highlight w:val="none"/>
              </w:rPr>
            </w:pPr>
            <w:r>
              <w:rPr>
                <w:rFonts w:hint="eastAsia" w:hAnsi="宋体" w:cs="宋体"/>
                <w:b/>
                <w:bCs/>
                <w:color w:val="auto"/>
                <w:kern w:val="0"/>
                <w:sz w:val="24"/>
                <w:highlight w:val="none"/>
              </w:rPr>
              <w:t>预算金额</w:t>
            </w:r>
          </w:p>
        </w:tc>
        <w:tc>
          <w:tcPr>
            <w:tcW w:w="1582" w:type="dxa"/>
            <w:tcBorders>
              <w:top w:val="single" w:color="auto" w:sz="8" w:space="0"/>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b/>
                <w:bCs/>
                <w:color w:val="auto"/>
                <w:kern w:val="0"/>
                <w:sz w:val="24"/>
                <w:highlight w:val="none"/>
              </w:rPr>
            </w:pPr>
            <w:r>
              <w:rPr>
                <w:rFonts w:hint="eastAsia" w:hAnsi="宋体" w:cs="宋体"/>
                <w:b/>
                <w:bCs/>
                <w:color w:val="auto"/>
                <w:kern w:val="0"/>
                <w:sz w:val="24"/>
                <w:highlight w:val="none"/>
              </w:rPr>
              <w:t>执行金额</w:t>
            </w:r>
          </w:p>
        </w:tc>
        <w:tc>
          <w:tcPr>
            <w:tcW w:w="1260" w:type="dxa"/>
            <w:tcBorders>
              <w:top w:val="single" w:color="auto" w:sz="8" w:space="0"/>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b/>
                <w:bCs/>
                <w:color w:val="auto"/>
                <w:kern w:val="0"/>
                <w:sz w:val="24"/>
                <w:highlight w:val="none"/>
              </w:rPr>
            </w:pPr>
            <w:r>
              <w:rPr>
                <w:rFonts w:hint="eastAsia" w:hAnsi="宋体" w:cs="宋体"/>
                <w:b/>
                <w:bCs/>
                <w:color w:val="auto"/>
                <w:kern w:val="0"/>
                <w:sz w:val="24"/>
                <w:highlight w:val="none"/>
              </w:rPr>
              <w:t>执行率</w:t>
            </w:r>
          </w:p>
        </w:tc>
        <w:tc>
          <w:tcPr>
            <w:tcW w:w="1730" w:type="dxa"/>
            <w:tcBorders>
              <w:top w:val="single" w:color="auto" w:sz="8" w:space="0"/>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b/>
                <w:bCs/>
                <w:color w:val="auto"/>
                <w:kern w:val="0"/>
                <w:sz w:val="24"/>
                <w:highlight w:val="none"/>
              </w:rPr>
            </w:pPr>
            <w:r>
              <w:rPr>
                <w:rFonts w:hint="eastAsia" w:hAnsi="宋体" w:cs="宋体"/>
                <w:b/>
                <w:bCs/>
                <w:color w:val="auto"/>
                <w:kern w:val="0"/>
                <w:sz w:val="24"/>
                <w:highlight w:val="none"/>
              </w:rPr>
              <w:t>项目是否完成</w:t>
            </w:r>
          </w:p>
        </w:tc>
        <w:tc>
          <w:tcPr>
            <w:tcW w:w="788" w:type="dxa"/>
            <w:tcBorders>
              <w:top w:val="single" w:color="auto" w:sz="8" w:space="0"/>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b/>
                <w:bCs/>
                <w:color w:val="auto"/>
                <w:kern w:val="0"/>
                <w:sz w:val="24"/>
                <w:highlight w:val="none"/>
              </w:rPr>
            </w:pPr>
            <w:r>
              <w:rPr>
                <w:rFonts w:hint="eastAsia" w:hAnsi="宋体" w:cs="宋体"/>
                <w:b/>
                <w:bCs/>
                <w:color w:val="auto"/>
                <w:kern w:val="0"/>
                <w:sz w:val="24"/>
                <w:highlight w:val="none"/>
              </w:rPr>
              <w:t>备注</w:t>
            </w: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Ansi="宋体" w:cs="宋体"/>
                <w:color w:val="auto"/>
                <w:kern w:val="0"/>
                <w:sz w:val="20"/>
                <w:szCs w:val="20"/>
                <w:highlight w:val="none"/>
              </w:rPr>
              <w:t>2019年现代职业教育质量提升计划（第一批）资金（改善办学条件）</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245</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94</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38.37%</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否</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int="eastAsia" w:hAnsi="宋体" w:cs="宋体"/>
                <w:color w:val="auto"/>
                <w:kern w:val="0"/>
                <w:sz w:val="20"/>
                <w:szCs w:val="20"/>
                <w:highlight w:val="none"/>
              </w:rPr>
              <w:t>中央专项，项目软件调试中遇到问题，正在修改中</w:t>
            </w: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Ansi="宋体" w:cs="宋体"/>
                <w:color w:val="auto"/>
                <w:kern w:val="0"/>
                <w:sz w:val="20"/>
                <w:szCs w:val="20"/>
                <w:highlight w:val="none"/>
              </w:rPr>
              <w:t>2019年现代职业教育质量提升计划（第一批）资金（教师素质提高计划）</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30</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10.69</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35.63%</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否</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int="eastAsia" w:hAnsi="宋体" w:cs="宋体"/>
                <w:color w:val="auto"/>
                <w:kern w:val="0"/>
                <w:sz w:val="20"/>
                <w:szCs w:val="20"/>
                <w:highlight w:val="none"/>
              </w:rPr>
              <w:t>中央专项，中央专项，已完成学生培训，项目考证时间为每年上半年，预计2020年付款</w:t>
            </w: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Ansi="宋体" w:cs="宋体"/>
                <w:color w:val="auto"/>
                <w:kern w:val="0"/>
                <w:sz w:val="20"/>
                <w:szCs w:val="20"/>
                <w:highlight w:val="none"/>
              </w:rPr>
              <w:t>2019年学生资助补助经费（高等教育）中央 国家励志奖学金</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9.6</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9.6</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100%</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int="eastAsia" w:hAnsi="宋体" w:cs="宋体"/>
                <w:color w:val="auto"/>
                <w:kern w:val="0"/>
                <w:sz w:val="20"/>
                <w:szCs w:val="20"/>
                <w:highlight w:val="none"/>
              </w:rPr>
              <w:t>中央专项</w:t>
            </w: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Ansi="宋体" w:cs="宋体"/>
                <w:color w:val="auto"/>
                <w:kern w:val="0"/>
                <w:sz w:val="20"/>
                <w:szCs w:val="20"/>
                <w:highlight w:val="none"/>
              </w:rPr>
              <w:t>2019年学生资助补助经费（高等教育）中央 国家助学金</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410.4</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410.4</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100%</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int="eastAsia" w:hAnsi="宋体" w:cs="宋体"/>
                <w:color w:val="auto"/>
                <w:kern w:val="0"/>
                <w:sz w:val="20"/>
                <w:szCs w:val="20"/>
                <w:highlight w:val="none"/>
              </w:rPr>
              <w:t>中央专项</w:t>
            </w: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Ansi="宋体" w:cs="宋体"/>
                <w:color w:val="auto"/>
                <w:kern w:val="0"/>
                <w:sz w:val="20"/>
                <w:szCs w:val="20"/>
                <w:highlight w:val="none"/>
              </w:rPr>
              <w:t>2019年中等职业学校免教材费补助资金</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129.24</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49.92</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Ansi="宋体" w:cs="宋体"/>
                <w:color w:val="auto"/>
                <w:kern w:val="0"/>
                <w:sz w:val="20"/>
                <w:szCs w:val="20"/>
                <w:highlight w:val="none"/>
              </w:rPr>
              <w:t>36.63%</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否</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int="eastAsia" w:hAnsi="宋体" w:cs="宋体"/>
                <w:color w:val="auto"/>
                <w:kern w:val="0"/>
                <w:sz w:val="20"/>
                <w:szCs w:val="20"/>
                <w:highlight w:val="none"/>
              </w:rPr>
              <w:t>财政部</w:t>
            </w:r>
            <w:r>
              <w:rPr>
                <w:rFonts w:hAnsi="宋体" w:cs="宋体"/>
                <w:color w:val="auto"/>
                <w:kern w:val="0"/>
                <w:sz w:val="20"/>
                <w:szCs w:val="20"/>
                <w:highlight w:val="none"/>
              </w:rPr>
              <w:t xml:space="preserve"> 教育部下达2019年现代职业教育质量提升计划专项资金（1+X证书试点）</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43.2</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7.58</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17.55</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否</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int="eastAsia" w:hAnsi="宋体" w:cs="宋体"/>
                <w:color w:val="auto"/>
                <w:kern w:val="0"/>
                <w:sz w:val="20"/>
                <w:szCs w:val="20"/>
                <w:highlight w:val="none"/>
              </w:rPr>
              <w:t>中央专项，已完成学生培训，项目考证时间为每年上半年，预计2020年付款</w:t>
            </w: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Ansi="宋体" w:cs="宋体"/>
                <w:color w:val="auto"/>
                <w:kern w:val="0"/>
                <w:sz w:val="20"/>
                <w:szCs w:val="20"/>
                <w:highlight w:val="none"/>
              </w:rPr>
              <w:t>2019年中等职业学校学生补助资金（国家助学金资金）</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340.35</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238.06</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69.95%</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否</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int="eastAsia" w:hAnsi="宋体" w:cs="宋体"/>
                <w:color w:val="auto"/>
                <w:kern w:val="0"/>
                <w:sz w:val="20"/>
                <w:szCs w:val="20"/>
                <w:highlight w:val="none"/>
              </w:rPr>
              <w:t>中央专项</w:t>
            </w: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Ansi="宋体" w:cs="宋体"/>
                <w:color w:val="auto"/>
                <w:kern w:val="0"/>
                <w:sz w:val="20"/>
                <w:szCs w:val="20"/>
                <w:highlight w:val="none"/>
              </w:rPr>
              <w:t>2019年中等职业学校学生补助资金（免学费补助资金）</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652.86</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102.29</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15.67%</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否</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int="eastAsia" w:hAnsi="宋体" w:cs="宋体"/>
                <w:color w:val="auto"/>
                <w:kern w:val="0"/>
                <w:sz w:val="20"/>
                <w:szCs w:val="20"/>
                <w:highlight w:val="none"/>
              </w:rPr>
              <w:t>中央专项，由于我单位2019年新搬迁校区，宿舍相关支出较少，同时使用上年额度结余</w:t>
            </w: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Ansi="宋体" w:cs="宋体"/>
                <w:color w:val="auto"/>
                <w:kern w:val="0"/>
                <w:sz w:val="20"/>
                <w:szCs w:val="20"/>
                <w:highlight w:val="none"/>
              </w:rPr>
              <w:t>2019年自治区高等学校国家奖学金（第二批）国家奖学金</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2.4</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2.4</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100%</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int="eastAsia" w:hAnsi="宋体" w:cs="宋体"/>
                <w:color w:val="auto"/>
                <w:kern w:val="0"/>
                <w:sz w:val="20"/>
                <w:szCs w:val="20"/>
                <w:highlight w:val="none"/>
              </w:rPr>
              <w:t>中央专项</w:t>
            </w: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Ansi="宋体" w:cs="宋体"/>
                <w:color w:val="auto"/>
                <w:kern w:val="0"/>
                <w:sz w:val="20"/>
                <w:szCs w:val="20"/>
                <w:highlight w:val="none"/>
              </w:rPr>
              <w:t>2019年自治区高等学校国家奖学金（第二批）国家励志奖学金</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69.9</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69.9</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100%</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int="eastAsia" w:hAnsi="宋体" w:cs="宋体"/>
                <w:color w:val="auto"/>
                <w:kern w:val="0"/>
                <w:sz w:val="20"/>
                <w:szCs w:val="20"/>
                <w:highlight w:val="none"/>
              </w:rPr>
              <w:t>中央专项</w:t>
            </w: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Ansi="宋体" w:cs="宋体"/>
                <w:color w:val="auto"/>
                <w:kern w:val="0"/>
                <w:sz w:val="20"/>
                <w:szCs w:val="20"/>
                <w:highlight w:val="none"/>
              </w:rPr>
              <w:t>2019年中职院校国家免学费（第二批）</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54.96</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54.96</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100%</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int="eastAsia" w:hAnsi="宋体" w:cs="宋体"/>
                <w:color w:val="auto"/>
                <w:kern w:val="0"/>
                <w:sz w:val="20"/>
                <w:szCs w:val="20"/>
                <w:highlight w:val="none"/>
              </w:rPr>
              <w:t>中央专项</w:t>
            </w: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Ansi="宋体" w:cs="宋体"/>
                <w:color w:val="auto"/>
                <w:kern w:val="0"/>
                <w:sz w:val="20"/>
                <w:szCs w:val="20"/>
                <w:highlight w:val="none"/>
              </w:rPr>
              <w:t>2019年中职院校国家助学金（第二批）</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70.85</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70.85</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100%</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int="eastAsia" w:hAnsi="宋体" w:cs="宋体"/>
                <w:color w:val="auto"/>
                <w:kern w:val="0"/>
                <w:sz w:val="20"/>
                <w:szCs w:val="20"/>
                <w:highlight w:val="none"/>
              </w:rPr>
              <w:t>中央专项</w:t>
            </w: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Ansi="宋体" w:cs="宋体"/>
                <w:color w:val="auto"/>
                <w:kern w:val="0"/>
                <w:sz w:val="20"/>
                <w:szCs w:val="20"/>
                <w:highlight w:val="none"/>
              </w:rPr>
              <w:t>2018年自治区高等学校国家奖学金、助学金（2018年额度)</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13.18</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13.18</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100%</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rPr>
                <w:rFonts w:hAnsi="宋体" w:cs="宋体"/>
                <w:color w:val="auto"/>
                <w:kern w:val="0"/>
                <w:sz w:val="20"/>
                <w:szCs w:val="20"/>
                <w:highlight w:val="none"/>
              </w:rPr>
            </w:pP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Ansi="宋体" w:cs="宋体"/>
                <w:color w:val="auto"/>
                <w:kern w:val="0"/>
                <w:sz w:val="20"/>
                <w:szCs w:val="20"/>
                <w:highlight w:val="none"/>
              </w:rPr>
              <w:t>2018年自治区支持提高普通本科高校生均拨款标准和提高自治区本级高职院校生均拨款标准补助经费（2018年额度）</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34</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34</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100%</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Ansi="宋体" w:cs="宋体"/>
                <w:color w:val="auto"/>
                <w:kern w:val="0"/>
                <w:sz w:val="20"/>
                <w:szCs w:val="20"/>
                <w:highlight w:val="none"/>
              </w:rPr>
              <w:t>2019年自治区中等职业学校免学费补助资金</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163.21</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163.21</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100%</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Ansi="宋体" w:cs="宋体"/>
                <w:color w:val="auto"/>
                <w:kern w:val="0"/>
                <w:sz w:val="20"/>
                <w:szCs w:val="20"/>
                <w:highlight w:val="none"/>
              </w:rPr>
              <w:t>2019年自治区第六批地方政府债券（新增一般债券）</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11000</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11000</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100%</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Ansi="宋体" w:cs="宋体"/>
                <w:color w:val="auto"/>
                <w:kern w:val="0"/>
                <w:sz w:val="20"/>
                <w:szCs w:val="20"/>
                <w:highlight w:val="none"/>
              </w:rPr>
              <w:t>2019年自治区高等学校国家助学金（第二批）</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35.28</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35.28</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100%</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int="eastAsia" w:hAnsi="宋体" w:cs="宋体"/>
                <w:color w:val="auto"/>
                <w:kern w:val="0"/>
                <w:sz w:val="20"/>
                <w:szCs w:val="20"/>
                <w:highlight w:val="none"/>
              </w:rPr>
              <w:t>中央专项</w:t>
            </w: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Ansi="宋体" w:cs="宋体"/>
                <w:color w:val="auto"/>
                <w:kern w:val="0"/>
                <w:sz w:val="20"/>
                <w:szCs w:val="20"/>
                <w:highlight w:val="none"/>
              </w:rPr>
              <w:t>2019年自治区中等职业学校国家助学金自治区资金</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85.09</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85.09</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100%</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int="eastAsia" w:hAnsi="宋体" w:cs="宋体"/>
                <w:color w:val="auto"/>
                <w:kern w:val="0"/>
                <w:sz w:val="20"/>
                <w:szCs w:val="20"/>
                <w:highlight w:val="none"/>
              </w:rPr>
              <w:t>下达</w:t>
            </w:r>
            <w:r>
              <w:rPr>
                <w:rFonts w:hAnsi="宋体" w:cs="宋体"/>
                <w:color w:val="auto"/>
                <w:kern w:val="0"/>
                <w:sz w:val="20"/>
                <w:szCs w:val="20"/>
                <w:highlight w:val="none"/>
              </w:rPr>
              <w:t>2019年教育经费支出事项（中等职业教育免学费补助）</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55.68</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55.68</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100%</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int="eastAsia" w:hAnsi="宋体" w:cs="宋体"/>
                <w:color w:val="auto"/>
                <w:kern w:val="0"/>
                <w:sz w:val="20"/>
                <w:szCs w:val="20"/>
                <w:highlight w:val="none"/>
              </w:rPr>
              <w:t>中央专项</w:t>
            </w: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int="eastAsia" w:hAnsi="宋体" w:cs="宋体"/>
                <w:color w:val="auto"/>
                <w:kern w:val="0"/>
                <w:sz w:val="20"/>
                <w:szCs w:val="20"/>
                <w:highlight w:val="none"/>
              </w:rPr>
              <w:t>下达</w:t>
            </w:r>
            <w:r>
              <w:rPr>
                <w:rFonts w:hAnsi="宋体" w:cs="宋体"/>
                <w:color w:val="auto"/>
                <w:kern w:val="0"/>
                <w:sz w:val="20"/>
                <w:szCs w:val="20"/>
                <w:highlight w:val="none"/>
              </w:rPr>
              <w:t>2019年教育经费支出事项（高校班主任、辅导员岗位补贴）</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6.83</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6.83</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100%</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int="eastAsia" w:hAnsi="宋体" w:cs="宋体"/>
                <w:color w:val="auto"/>
                <w:kern w:val="0"/>
                <w:sz w:val="20"/>
                <w:szCs w:val="20"/>
                <w:highlight w:val="none"/>
              </w:rPr>
              <w:t>下达</w:t>
            </w:r>
            <w:r>
              <w:rPr>
                <w:rFonts w:hAnsi="宋体" w:cs="宋体"/>
                <w:color w:val="auto"/>
                <w:kern w:val="0"/>
                <w:sz w:val="20"/>
                <w:szCs w:val="20"/>
                <w:highlight w:val="none"/>
              </w:rPr>
              <w:t>2019年教育经费支出事项（高校伙食补助资金）</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47.15</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0</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0</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否</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int="eastAsia" w:hAnsi="宋体" w:cs="宋体"/>
                <w:color w:val="auto"/>
                <w:kern w:val="0"/>
                <w:sz w:val="20"/>
                <w:szCs w:val="20"/>
                <w:highlight w:val="none"/>
              </w:rPr>
              <w:t>下达</w:t>
            </w:r>
            <w:r>
              <w:rPr>
                <w:rFonts w:hAnsi="宋体" w:cs="宋体"/>
                <w:color w:val="auto"/>
                <w:kern w:val="0"/>
                <w:sz w:val="20"/>
                <w:szCs w:val="20"/>
                <w:highlight w:val="none"/>
              </w:rPr>
              <w:t>2019年教育经费支出事项（高校少数民族预科生学费和住宿费）</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404.94</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119.36</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29.48%</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否</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int="eastAsia" w:hAnsi="宋体" w:cs="宋体"/>
                <w:color w:val="auto"/>
                <w:kern w:val="0"/>
                <w:sz w:val="20"/>
                <w:szCs w:val="20"/>
                <w:highlight w:val="none"/>
              </w:rPr>
              <w:t>下达</w:t>
            </w:r>
            <w:r>
              <w:rPr>
                <w:rFonts w:hAnsi="宋体" w:cs="宋体"/>
                <w:color w:val="auto"/>
                <w:kern w:val="0"/>
                <w:sz w:val="20"/>
                <w:szCs w:val="20"/>
                <w:highlight w:val="none"/>
              </w:rPr>
              <w:t>2019年教育经费支出事项（自治区高校本专科国家助学金）</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20.26</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20.26</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100%</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int="eastAsia" w:hAnsi="宋体" w:cs="宋体"/>
                <w:color w:val="auto"/>
                <w:kern w:val="0"/>
                <w:sz w:val="20"/>
                <w:szCs w:val="20"/>
                <w:highlight w:val="none"/>
              </w:rPr>
              <w:t>下达</w:t>
            </w:r>
            <w:r>
              <w:rPr>
                <w:rFonts w:hAnsi="宋体" w:cs="宋体"/>
                <w:color w:val="auto"/>
                <w:kern w:val="0"/>
                <w:sz w:val="20"/>
                <w:szCs w:val="20"/>
                <w:highlight w:val="none"/>
              </w:rPr>
              <w:t>2019年教育经费支出事项（自治区人民政府励志奖学金）</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129</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129</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100%</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int="eastAsia" w:hAnsi="宋体" w:cs="宋体"/>
                <w:color w:val="auto"/>
                <w:kern w:val="0"/>
                <w:sz w:val="20"/>
                <w:szCs w:val="20"/>
                <w:highlight w:val="none"/>
              </w:rPr>
              <w:t>追加</w:t>
            </w:r>
            <w:r>
              <w:rPr>
                <w:rFonts w:hAnsi="宋体" w:cs="宋体"/>
                <w:color w:val="auto"/>
                <w:kern w:val="0"/>
                <w:sz w:val="20"/>
                <w:szCs w:val="20"/>
                <w:highlight w:val="none"/>
              </w:rPr>
              <w:t>2019年中等职业教育国家奖学金</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3.6</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3.6</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100%</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int="eastAsia" w:hAnsi="宋体" w:cs="宋体"/>
                <w:color w:val="auto"/>
                <w:kern w:val="0"/>
                <w:sz w:val="20"/>
                <w:szCs w:val="20"/>
                <w:highlight w:val="none"/>
              </w:rPr>
              <w:t>中央专项</w:t>
            </w: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int="eastAsia" w:hAnsi="宋体" w:cs="宋体"/>
                <w:color w:val="auto"/>
                <w:kern w:val="0"/>
                <w:sz w:val="20"/>
                <w:szCs w:val="20"/>
                <w:highlight w:val="none"/>
              </w:rPr>
              <w:t>追加</w:t>
            </w:r>
            <w:r>
              <w:rPr>
                <w:rFonts w:hAnsi="宋体" w:cs="宋体"/>
                <w:color w:val="auto"/>
                <w:kern w:val="0"/>
                <w:sz w:val="20"/>
                <w:szCs w:val="20"/>
                <w:highlight w:val="none"/>
              </w:rPr>
              <w:t>2019年自治区高等学校国家奖学金(国家奖学金、国家助学金、国家励志奖学金）</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116.13</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116.13</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100%</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int="eastAsia" w:hAnsi="宋体" w:cs="宋体"/>
                <w:color w:val="auto"/>
                <w:kern w:val="0"/>
                <w:sz w:val="20"/>
                <w:szCs w:val="20"/>
                <w:highlight w:val="none"/>
              </w:rPr>
              <w:t>中央专项</w:t>
            </w: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Ansi="宋体" w:cs="宋体"/>
                <w:color w:val="auto"/>
                <w:kern w:val="0"/>
                <w:sz w:val="20"/>
                <w:szCs w:val="20"/>
                <w:highlight w:val="none"/>
              </w:rPr>
              <w:t>2017年第二批现代职业教育质量提升计划专项资金</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435</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435</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100%</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int="eastAsia" w:hAnsi="宋体" w:cs="宋体"/>
                <w:color w:val="auto"/>
                <w:kern w:val="0"/>
                <w:sz w:val="20"/>
                <w:szCs w:val="20"/>
                <w:highlight w:val="none"/>
              </w:rPr>
              <w:t>中央专项</w:t>
            </w: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Ansi="宋体" w:cs="宋体"/>
                <w:color w:val="auto"/>
                <w:kern w:val="0"/>
                <w:sz w:val="20"/>
                <w:szCs w:val="20"/>
                <w:highlight w:val="none"/>
              </w:rPr>
              <w:t>2017年第一批现代职业教育质量提升计划专项资金（高职）（2017年额度）</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135.13</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135.13</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100%</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int="eastAsia" w:hAnsi="宋体" w:cs="宋体"/>
                <w:color w:val="auto"/>
                <w:kern w:val="0"/>
                <w:sz w:val="20"/>
                <w:szCs w:val="20"/>
                <w:highlight w:val="none"/>
              </w:rPr>
              <w:t>中央专项</w:t>
            </w: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Ansi="宋体" w:cs="宋体"/>
                <w:color w:val="auto"/>
                <w:kern w:val="0"/>
                <w:sz w:val="20"/>
                <w:szCs w:val="20"/>
                <w:highlight w:val="none"/>
              </w:rPr>
              <w:t>2017年自治区高等学校科研计划（2017年额度）</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2.69</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2.69</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100%</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Ansi="宋体" w:cs="宋体"/>
                <w:color w:val="auto"/>
                <w:kern w:val="0"/>
                <w:sz w:val="20"/>
                <w:szCs w:val="20"/>
                <w:highlight w:val="none"/>
              </w:rPr>
              <w:t>2018年高校少数民族预科生学费和住宿费补助资金（2018年额度）</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389.34</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389.34</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100%</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Ansi="宋体" w:cs="宋体"/>
                <w:color w:val="auto"/>
                <w:kern w:val="0"/>
                <w:sz w:val="20"/>
                <w:szCs w:val="20"/>
                <w:highlight w:val="none"/>
              </w:rPr>
              <w:t>2018年高校自治区人民政府助学金资金（2018年额度）</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143.88</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143.88</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100%</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Ansi="宋体" w:cs="宋体"/>
                <w:color w:val="auto"/>
                <w:kern w:val="0"/>
                <w:sz w:val="20"/>
                <w:szCs w:val="20"/>
                <w:highlight w:val="none"/>
              </w:rPr>
              <w:t>2018年现代职业教育质量提升计划专项资金（第一批）（2018年额度）</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310</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310</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100%</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int="eastAsia" w:hAnsi="宋体" w:cs="宋体"/>
                <w:color w:val="auto"/>
                <w:kern w:val="0"/>
                <w:sz w:val="20"/>
                <w:szCs w:val="20"/>
                <w:highlight w:val="none"/>
              </w:rPr>
              <w:t>中央专项</w:t>
            </w: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Ansi="宋体" w:cs="宋体"/>
                <w:color w:val="auto"/>
                <w:kern w:val="0"/>
                <w:sz w:val="20"/>
                <w:szCs w:val="20"/>
                <w:highlight w:val="none"/>
              </w:rPr>
              <w:t>2018年现代职业教育质量提升计划专项资金（高职实训基地建设）（2018年额度）</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430</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430</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100%</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int="eastAsia" w:hAnsi="宋体" w:cs="宋体"/>
                <w:color w:val="auto"/>
                <w:kern w:val="0"/>
                <w:sz w:val="20"/>
                <w:szCs w:val="20"/>
                <w:highlight w:val="none"/>
              </w:rPr>
              <w:t>中央专项</w:t>
            </w: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Ansi="宋体" w:cs="宋体"/>
                <w:color w:val="auto"/>
                <w:kern w:val="0"/>
                <w:sz w:val="20"/>
                <w:szCs w:val="20"/>
                <w:highlight w:val="none"/>
              </w:rPr>
              <w:t>2018年学生资助补助经费（中职国家助学金）（2018年额度）</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74.6</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74.6</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100%</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Ansi="宋体" w:cs="宋体"/>
                <w:color w:val="auto"/>
                <w:kern w:val="0"/>
                <w:sz w:val="20"/>
                <w:szCs w:val="20"/>
                <w:highlight w:val="none"/>
              </w:rPr>
              <w:t>2018年学生资助补助经费（中职国家助学金和免学费补助资金）（2018年额度）</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365.09</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365.09</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100%</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int="eastAsia" w:hAnsi="宋体" w:cs="宋体"/>
                <w:color w:val="auto"/>
                <w:kern w:val="0"/>
                <w:sz w:val="20"/>
                <w:szCs w:val="20"/>
                <w:highlight w:val="none"/>
              </w:rPr>
              <w:t>中央专项</w:t>
            </w: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Ansi="宋体" w:cs="宋体"/>
                <w:color w:val="auto"/>
                <w:kern w:val="0"/>
                <w:sz w:val="20"/>
                <w:szCs w:val="20"/>
                <w:highlight w:val="none"/>
              </w:rPr>
              <w:t>2018年中职学生免教材费补助资金（2018年额度）</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27.24</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27.24</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100%</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Ansi="宋体" w:cs="宋体"/>
                <w:color w:val="auto"/>
                <w:kern w:val="0"/>
                <w:sz w:val="20"/>
                <w:szCs w:val="20"/>
                <w:highlight w:val="none"/>
              </w:rPr>
              <w:t>2018年中职院校免住宿费、教材费补助资金（2018年额度）</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240.67</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240.67</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100%</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Ansi="宋体" w:cs="宋体"/>
                <w:color w:val="auto"/>
                <w:kern w:val="0"/>
                <w:sz w:val="20"/>
                <w:szCs w:val="20"/>
                <w:highlight w:val="none"/>
              </w:rPr>
              <w:t>2018年自治区“访惠聚”驻村工作队经费（2018年额度）</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2.12</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2.12</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100%</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Ansi="宋体" w:cs="宋体"/>
                <w:color w:val="auto"/>
                <w:kern w:val="0"/>
                <w:sz w:val="20"/>
                <w:szCs w:val="20"/>
                <w:highlight w:val="none"/>
              </w:rPr>
              <w:t>2018年自治区人民政府高校助学金（2018年额度）</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17.92</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17.92</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100%</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Ansi="宋体" w:cs="宋体"/>
                <w:color w:val="auto"/>
                <w:kern w:val="0"/>
                <w:sz w:val="20"/>
                <w:szCs w:val="20"/>
                <w:highlight w:val="none"/>
              </w:rPr>
              <w:t>2019年阿克苏职业技术学院纺织工业城建设项目资金（纺织工业城建设项目）</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1000</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1000</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100%</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Ansi="宋体" w:cs="宋体"/>
                <w:color w:val="auto"/>
                <w:kern w:val="0"/>
                <w:sz w:val="20"/>
                <w:szCs w:val="20"/>
                <w:highlight w:val="none"/>
              </w:rPr>
              <w:t>2019年高校少数民族预科学生学费和住宿费补助资金</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62.66</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62.66</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100%</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Ansi="宋体" w:cs="宋体"/>
                <w:color w:val="auto"/>
                <w:kern w:val="0"/>
                <w:sz w:val="20"/>
                <w:szCs w:val="20"/>
                <w:highlight w:val="none"/>
              </w:rPr>
              <w:t>2019年高校学生服义务兵役 退役士兵 直招士官费补助经费</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15</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15</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100%</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中央专项</w:t>
            </w:r>
          </w:p>
          <w:p>
            <w:pPr>
              <w:widowControl/>
              <w:adjustRightInd w:val="0"/>
              <w:snapToGrid w:val="0"/>
              <w:spacing w:line="240" w:lineRule="auto"/>
              <w:ind w:firstLine="0" w:firstLineChars="0"/>
              <w:jc w:val="center"/>
              <w:rPr>
                <w:rFonts w:hAnsi="宋体" w:cs="宋体"/>
                <w:color w:val="auto"/>
                <w:kern w:val="0"/>
                <w:sz w:val="20"/>
                <w:szCs w:val="20"/>
                <w:highlight w:val="none"/>
              </w:rPr>
            </w:pP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Ansi="宋体" w:cs="宋体"/>
                <w:color w:val="auto"/>
                <w:kern w:val="0"/>
                <w:sz w:val="20"/>
                <w:szCs w:val="20"/>
                <w:highlight w:val="none"/>
              </w:rPr>
              <w:t>2019年高校自治区人民政府助学金资金</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239.8</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239.8</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100%</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Ansi="宋体" w:cs="宋体"/>
                <w:color w:val="auto"/>
                <w:kern w:val="0"/>
                <w:sz w:val="20"/>
                <w:szCs w:val="20"/>
                <w:highlight w:val="none"/>
              </w:rPr>
              <w:t>2019年中等职业学校免住宿费、教材费补助资金</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258.48</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167.6</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64.84%</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否</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由于我单位2019年新搬迁校区，宿舍相关支出较少，同时使用上年额度结余</w:t>
            </w: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Ansi="宋体" w:cs="宋体"/>
                <w:color w:val="auto"/>
                <w:kern w:val="0"/>
                <w:sz w:val="20"/>
                <w:szCs w:val="20"/>
                <w:highlight w:val="none"/>
              </w:rPr>
              <w:t>2019年自治区访惠聚驻村经费</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39.92</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39.92</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100%</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Ansi="宋体" w:cs="宋体"/>
                <w:color w:val="auto"/>
                <w:kern w:val="0"/>
                <w:sz w:val="20"/>
                <w:szCs w:val="20"/>
                <w:highlight w:val="none"/>
              </w:rPr>
              <w:t>2019年自治区高等学校国家奖助学金自治区配套资金（国家助学金、国家励志奖学金）</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84</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84</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100%</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rPr>
                <w:rFonts w:hAnsi="宋体" w:cs="宋体"/>
                <w:color w:val="auto"/>
                <w:kern w:val="0"/>
                <w:sz w:val="20"/>
                <w:szCs w:val="20"/>
                <w:highlight w:val="none"/>
              </w:rPr>
            </w:pP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Ansi="宋体" w:cs="宋体"/>
                <w:color w:val="auto"/>
                <w:kern w:val="0"/>
                <w:sz w:val="20"/>
                <w:szCs w:val="20"/>
                <w:highlight w:val="none"/>
              </w:rPr>
              <w:t>2019年自治区高等学校国家助学金（励志奖学金）（地区配套）</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21</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21</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100%</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Ansi="宋体" w:cs="宋体"/>
                <w:color w:val="auto"/>
                <w:kern w:val="0"/>
                <w:sz w:val="20"/>
                <w:szCs w:val="20"/>
                <w:highlight w:val="none"/>
              </w:rPr>
              <w:t>2019年自治区普通高等学校伙食补助资金</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74.99</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22.62</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30.16%</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否</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int="eastAsia" w:hAnsi="宋体" w:cs="宋体"/>
                <w:color w:val="auto"/>
                <w:kern w:val="0"/>
                <w:sz w:val="20"/>
                <w:szCs w:val="20"/>
                <w:highlight w:val="none"/>
              </w:rPr>
              <w:t>办公用品、设备、耗材、文印、维修、绿化等</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735</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735</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100%</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int="eastAsia" w:hAnsi="宋体" w:cs="宋体"/>
                <w:color w:val="auto"/>
                <w:kern w:val="0"/>
                <w:sz w:val="20"/>
                <w:szCs w:val="20"/>
                <w:highlight w:val="none"/>
              </w:rPr>
              <w:t>贷款贴息</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40</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40</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100%</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int="eastAsia" w:hAnsi="宋体" w:cs="宋体"/>
                <w:color w:val="auto"/>
                <w:kern w:val="0"/>
                <w:sz w:val="20"/>
                <w:szCs w:val="20"/>
                <w:highlight w:val="none"/>
              </w:rPr>
              <w:t>德育专项经费（高校大学生思想政治教育专项课题经费）（</w:t>
            </w:r>
            <w:r>
              <w:rPr>
                <w:rFonts w:hAnsi="宋体" w:cs="宋体"/>
                <w:color w:val="auto"/>
                <w:kern w:val="0"/>
                <w:sz w:val="20"/>
                <w:szCs w:val="20"/>
                <w:highlight w:val="none"/>
              </w:rPr>
              <w:t>2017年额度）</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1.5</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bookmarkStart w:id="1" w:name="_GoBack"/>
            <w:bookmarkEnd w:id="1"/>
            <w:r>
              <w:rPr>
                <w:rFonts w:hint="eastAsia" w:hAnsi="宋体" w:cs="宋体"/>
                <w:color w:val="auto"/>
                <w:kern w:val="0"/>
                <w:sz w:val="20"/>
                <w:szCs w:val="20"/>
                <w:highlight w:val="none"/>
              </w:rPr>
              <w:t>1.5</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100%</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int="eastAsia" w:hAnsi="宋体" w:cs="宋体"/>
                <w:color w:val="auto"/>
                <w:kern w:val="0"/>
                <w:sz w:val="20"/>
                <w:szCs w:val="20"/>
                <w:highlight w:val="none"/>
              </w:rPr>
              <w:t>德育专项经费（高校思想政治理论课重点课程建设经费）（</w:t>
            </w:r>
            <w:r>
              <w:rPr>
                <w:rFonts w:hAnsi="宋体" w:cs="宋体"/>
                <w:color w:val="auto"/>
                <w:kern w:val="0"/>
                <w:sz w:val="20"/>
                <w:szCs w:val="20"/>
                <w:highlight w:val="none"/>
              </w:rPr>
              <w:t>2017年额度）</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2</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2</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100%</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int="eastAsia" w:hAnsi="宋体" w:cs="宋体"/>
                <w:color w:val="auto"/>
                <w:kern w:val="0"/>
                <w:sz w:val="20"/>
                <w:szCs w:val="20"/>
                <w:highlight w:val="none"/>
              </w:rPr>
              <w:t>高校学生伙食补助资金（</w:t>
            </w:r>
            <w:r>
              <w:rPr>
                <w:rFonts w:hAnsi="宋体" w:cs="宋体"/>
                <w:color w:val="auto"/>
                <w:kern w:val="0"/>
                <w:sz w:val="20"/>
                <w:szCs w:val="20"/>
                <w:highlight w:val="none"/>
              </w:rPr>
              <w:t>2018年额度）</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15.99</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15.99</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100%</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int="eastAsia" w:hAnsi="宋体" w:cs="宋体"/>
                <w:color w:val="auto"/>
                <w:kern w:val="0"/>
                <w:sz w:val="20"/>
                <w:szCs w:val="20"/>
                <w:highlight w:val="none"/>
              </w:rPr>
              <w:t>国家奖中职、高职助学金配套资金</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100</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19.03</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19.03%</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否</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int="eastAsia" w:hAnsi="宋体" w:cs="宋体"/>
                <w:color w:val="auto"/>
                <w:kern w:val="0"/>
                <w:sz w:val="20"/>
                <w:szCs w:val="20"/>
                <w:highlight w:val="none"/>
              </w:rPr>
              <w:t>国家奖助学金配套资金（</w:t>
            </w:r>
            <w:r>
              <w:rPr>
                <w:rFonts w:hAnsi="宋体" w:cs="宋体"/>
                <w:color w:val="auto"/>
                <w:kern w:val="0"/>
                <w:sz w:val="20"/>
                <w:szCs w:val="20"/>
                <w:highlight w:val="none"/>
              </w:rPr>
              <w:t>2018年额度）</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30</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30</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100%</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int="eastAsia" w:hAnsi="宋体" w:cs="宋体"/>
                <w:color w:val="auto"/>
                <w:kern w:val="0"/>
                <w:sz w:val="20"/>
                <w:szCs w:val="20"/>
                <w:highlight w:val="none"/>
              </w:rPr>
              <w:t>农村农、林、牧、渔、煤艰苦专业补助</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80</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80</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100%</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int="eastAsia" w:hAnsi="宋体" w:cs="宋体"/>
                <w:color w:val="auto"/>
                <w:kern w:val="0"/>
                <w:sz w:val="20"/>
                <w:szCs w:val="20"/>
                <w:highlight w:val="none"/>
              </w:rPr>
              <w:t>体育教学训练费</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4</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4</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100%</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int="eastAsia" w:hAnsi="宋体" w:cs="宋体"/>
                <w:color w:val="auto"/>
                <w:kern w:val="0"/>
                <w:sz w:val="20"/>
                <w:szCs w:val="20"/>
                <w:highlight w:val="none"/>
              </w:rPr>
              <w:t>外聘教师代课费</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148</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148</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100%</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int="eastAsia" w:hAnsi="宋体" w:cs="宋体"/>
                <w:color w:val="auto"/>
                <w:kern w:val="0"/>
                <w:sz w:val="20"/>
                <w:szCs w:val="20"/>
                <w:highlight w:val="none"/>
              </w:rPr>
              <w:t>消耗性体育器材购置费</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20</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20</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100%</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int="eastAsia" w:hAnsi="宋体" w:cs="宋体"/>
                <w:color w:val="auto"/>
                <w:kern w:val="0"/>
                <w:sz w:val="20"/>
                <w:szCs w:val="20"/>
                <w:highlight w:val="none"/>
              </w:rPr>
              <w:t>新校区绿化费和基础设施维修改造经费</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600</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600</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100%</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int="eastAsia" w:hAnsi="宋体" w:cs="宋体"/>
                <w:color w:val="auto"/>
                <w:kern w:val="0"/>
                <w:sz w:val="20"/>
                <w:szCs w:val="20"/>
                <w:highlight w:val="none"/>
              </w:rPr>
              <w:t>学院新校区迁建经费</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353</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353</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100%</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Ansi="宋体" w:cs="宋体"/>
                <w:color w:val="auto"/>
                <w:kern w:val="0"/>
                <w:sz w:val="20"/>
                <w:szCs w:val="20"/>
                <w:highlight w:val="none"/>
              </w:rPr>
              <w:t>2019年自治区高校班主任、辅导员岗位补贴</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32.87</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32.87</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100%</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color w:val="auto"/>
                <w:kern w:val="0"/>
                <w:sz w:val="20"/>
                <w:szCs w:val="20"/>
                <w:highlight w:val="none"/>
              </w:rPr>
            </w:pPr>
            <w:r>
              <w:rPr>
                <w:rFonts w:hint="eastAsia" w:hAnsi="宋体" w:cs="宋体"/>
                <w:color w:val="auto"/>
                <w:kern w:val="0"/>
                <w:sz w:val="20"/>
                <w:szCs w:val="20"/>
                <w:highlight w:val="none"/>
              </w:rPr>
              <w:t>自治区教育综合改革试点项目立项课题经费（</w:t>
            </w:r>
            <w:r>
              <w:rPr>
                <w:rFonts w:hAnsi="宋体" w:cs="宋体"/>
                <w:color w:val="auto"/>
                <w:kern w:val="0"/>
                <w:sz w:val="20"/>
                <w:szCs w:val="20"/>
                <w:highlight w:val="none"/>
              </w:rPr>
              <w:t>2018年额度）</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0.23</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0.23</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100%</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p>
        </w:tc>
      </w:tr>
      <w:tr>
        <w:tblPrEx>
          <w:tblCellMar>
            <w:top w:w="0" w:type="dxa"/>
            <w:left w:w="108" w:type="dxa"/>
            <w:bottom w:w="0" w:type="dxa"/>
            <w:right w:w="108" w:type="dxa"/>
          </w:tblCellMar>
        </w:tblPrEx>
        <w:trPr>
          <w:trHeight w:val="397"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hAnsi="宋体" w:cs="宋体"/>
                <w:b/>
                <w:bCs/>
                <w:color w:val="auto"/>
                <w:kern w:val="0"/>
                <w:sz w:val="20"/>
                <w:szCs w:val="20"/>
                <w:highlight w:val="none"/>
              </w:rPr>
            </w:pPr>
            <w:r>
              <w:rPr>
                <w:rFonts w:hint="eastAsia" w:hAnsi="宋体" w:cs="宋体"/>
                <w:b/>
                <w:bCs/>
                <w:color w:val="auto"/>
                <w:kern w:val="0"/>
                <w:sz w:val="20"/>
                <w:szCs w:val="20"/>
                <w:highlight w:val="none"/>
              </w:rPr>
              <w:t>合计</w:t>
            </w:r>
          </w:p>
        </w:tc>
        <w:tc>
          <w:tcPr>
            <w:tcW w:w="1581"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20705.23</w:t>
            </w:r>
          </w:p>
        </w:tc>
        <w:tc>
          <w:tcPr>
            <w:tcW w:w="1582"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19210.16</w:t>
            </w:r>
          </w:p>
        </w:tc>
        <w:tc>
          <w:tcPr>
            <w:tcW w:w="126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92.78%</w:t>
            </w:r>
          </w:p>
        </w:tc>
        <w:tc>
          <w:tcPr>
            <w:tcW w:w="173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hAnsi="宋体" w:cs="宋体"/>
                <w:color w:val="auto"/>
                <w:kern w:val="0"/>
                <w:sz w:val="20"/>
                <w:szCs w:val="20"/>
                <w:highlight w:val="none"/>
              </w:rPr>
            </w:pPr>
            <w:r>
              <w:rPr>
                <w:rFonts w:hint="eastAsia" w:hAnsi="宋体" w:cs="宋体"/>
                <w:color w:val="auto"/>
                <w:kern w:val="0"/>
                <w:sz w:val="20"/>
                <w:szCs w:val="20"/>
                <w:highlight w:val="none"/>
              </w:rPr>
              <w:t>　</w:t>
            </w:r>
          </w:p>
        </w:tc>
      </w:tr>
    </w:tbl>
    <w:p>
      <w:pPr>
        <w:pStyle w:val="3"/>
        <w:numPr>
          <w:ilvl w:val="0"/>
          <w:numId w:val="2"/>
        </w:numPr>
        <w:ind w:firstLine="562"/>
        <w:rPr>
          <w:color w:val="auto"/>
          <w:highlight w:val="none"/>
        </w:rPr>
      </w:pPr>
      <w:r>
        <w:rPr>
          <w:rFonts w:hint="eastAsia"/>
          <w:color w:val="auto"/>
          <w:highlight w:val="none"/>
        </w:rPr>
        <w:t>部门单位专项组织实施情况</w:t>
      </w:r>
    </w:p>
    <w:p>
      <w:pPr>
        <w:pStyle w:val="4"/>
        <w:ind w:firstLine="643"/>
        <w:rPr>
          <w:color w:val="auto"/>
          <w:highlight w:val="none"/>
        </w:rPr>
      </w:pPr>
      <w:r>
        <w:rPr>
          <w:rFonts w:hint="eastAsia"/>
          <w:color w:val="auto"/>
          <w:highlight w:val="none"/>
        </w:rPr>
        <w:t>（一）专项组织情况分析</w:t>
      </w:r>
    </w:p>
    <w:p>
      <w:pPr>
        <w:pStyle w:val="2"/>
        <w:ind w:firstLine="562"/>
        <w:rPr>
          <w:color w:val="auto"/>
          <w:highlight w:val="none"/>
        </w:rPr>
      </w:pPr>
      <w:r>
        <w:rPr>
          <w:rFonts w:hint="eastAsia"/>
          <w:color w:val="auto"/>
          <w:highlight w:val="none"/>
        </w:rPr>
        <w:t>1、前期准备</w:t>
      </w:r>
    </w:p>
    <w:p>
      <w:pPr>
        <w:ind w:firstLine="560"/>
        <w:rPr>
          <w:color w:val="auto"/>
          <w:highlight w:val="none"/>
        </w:rPr>
      </w:pPr>
      <w:r>
        <w:rPr>
          <w:rFonts w:hint="eastAsia"/>
          <w:color w:val="auto"/>
          <w:highlight w:val="none"/>
        </w:rPr>
        <w:t>梳理2019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p>
    <w:p>
      <w:pPr>
        <w:pStyle w:val="2"/>
        <w:numPr>
          <w:ilvl w:val="0"/>
          <w:numId w:val="3"/>
        </w:numPr>
        <w:ind w:firstLine="562"/>
        <w:rPr>
          <w:color w:val="auto"/>
          <w:highlight w:val="none"/>
        </w:rPr>
      </w:pPr>
      <w:r>
        <w:rPr>
          <w:rFonts w:hint="eastAsia"/>
          <w:color w:val="auto"/>
          <w:highlight w:val="none"/>
        </w:rPr>
        <w:t>组织实施</w:t>
      </w:r>
    </w:p>
    <w:p>
      <w:pPr>
        <w:ind w:firstLine="560"/>
        <w:rPr>
          <w:color w:val="auto"/>
          <w:highlight w:val="none"/>
        </w:rPr>
      </w:pPr>
      <w:r>
        <w:rPr>
          <w:rFonts w:hint="eastAsia"/>
          <w:color w:val="auto"/>
          <w:highlight w:val="none"/>
        </w:rPr>
        <w:t>我单位设立专门的绩效评价小组对于专项资金下达的绩效目标表的专项项目按照下达绩效目标，立足实际完成情况，开展专项项目绩效自评。对于未下达绩效目标表的项目，由我部门按照自行设定并经财政审核备案后的绩效目标表，实施专项项目绩效自评。</w:t>
      </w:r>
    </w:p>
    <w:p>
      <w:pPr>
        <w:pStyle w:val="4"/>
        <w:ind w:firstLine="643"/>
        <w:rPr>
          <w:color w:val="auto"/>
          <w:highlight w:val="none"/>
        </w:rPr>
      </w:pPr>
      <w:r>
        <w:rPr>
          <w:rFonts w:hint="eastAsia"/>
          <w:color w:val="auto"/>
          <w:highlight w:val="none"/>
        </w:rPr>
        <w:t>（二）专项管理情况分析</w:t>
      </w:r>
    </w:p>
    <w:p>
      <w:pPr>
        <w:ind w:firstLine="560"/>
        <w:rPr>
          <w:color w:val="auto"/>
          <w:highlight w:val="none"/>
        </w:rPr>
      </w:pPr>
      <w:r>
        <w:rPr>
          <w:rFonts w:hint="eastAsia"/>
          <w:color w:val="auto"/>
          <w:highlight w:val="none"/>
        </w:rPr>
        <w:t>1.专项管理情况分析包括政策、项目资金情况分析</w:t>
      </w:r>
    </w:p>
    <w:p>
      <w:pPr>
        <w:ind w:firstLine="560"/>
        <w:rPr>
          <w:color w:val="auto"/>
          <w:highlight w:val="none"/>
        </w:rPr>
      </w:pPr>
      <w:r>
        <w:rPr>
          <w:rFonts w:hint="eastAsia"/>
          <w:color w:val="auto"/>
          <w:highlight w:val="none"/>
        </w:rPr>
        <w:t>（1）阿克苏职业技术学院2019年涉及专项资金18204.23万元，2019年专项资金实际执行总额为16790.13万元，2019年专项资金结转总额为1414.1万元，2019年专项资金执行率为92.23%。</w:t>
      </w:r>
      <w:r>
        <w:rPr>
          <w:color w:val="auto"/>
          <w:highlight w:val="none"/>
        </w:rPr>
        <w:t>专项</w:t>
      </w:r>
      <w:r>
        <w:rPr>
          <w:rFonts w:hint="eastAsia"/>
          <w:color w:val="auto"/>
          <w:highlight w:val="none"/>
        </w:rPr>
        <w:t>资金严格</w:t>
      </w:r>
      <w:r>
        <w:rPr>
          <w:color w:val="auto"/>
          <w:highlight w:val="none"/>
        </w:rPr>
        <w:t>按照</w:t>
      </w:r>
      <w:r>
        <w:rPr>
          <w:rFonts w:hint="eastAsia"/>
          <w:color w:val="auto"/>
          <w:highlight w:val="none"/>
        </w:rPr>
        <w:t>阿克苏地区财政局及相关专项管理办法</w:t>
      </w:r>
      <w:r>
        <w:rPr>
          <w:color w:val="auto"/>
          <w:highlight w:val="none"/>
        </w:rPr>
        <w:t>要求实行专款专用</w:t>
      </w:r>
      <w:r>
        <w:rPr>
          <w:rFonts w:hint="eastAsia"/>
          <w:color w:val="auto"/>
          <w:highlight w:val="none"/>
        </w:rPr>
        <w:t>，在本年度各级审计和财政监督检查中未发现资金使用合规性问题。</w:t>
      </w:r>
    </w:p>
    <w:p>
      <w:pPr>
        <w:ind w:firstLine="560"/>
        <w:rPr>
          <w:color w:val="auto"/>
          <w:highlight w:val="none"/>
        </w:rPr>
      </w:pPr>
      <w:r>
        <w:rPr>
          <w:rFonts w:hint="eastAsia"/>
          <w:color w:val="auto"/>
          <w:highlight w:val="none"/>
        </w:rPr>
        <w:t>2.政策、项目实施情况分析</w:t>
      </w:r>
    </w:p>
    <w:p>
      <w:pPr>
        <w:pStyle w:val="2"/>
        <w:ind w:firstLine="560"/>
        <w:rPr>
          <w:rFonts w:ascii="仿宋" w:hAnsi="仿宋" w:eastAsia="仿宋"/>
          <w:b w:val="0"/>
          <w:bCs w:val="0"/>
          <w:color w:val="auto"/>
          <w:szCs w:val="24"/>
          <w:highlight w:val="none"/>
        </w:rPr>
      </w:pPr>
      <w:r>
        <w:rPr>
          <w:rFonts w:hint="eastAsia" w:ascii="仿宋" w:hAnsi="仿宋" w:eastAsia="仿宋"/>
          <w:b w:val="0"/>
          <w:bCs w:val="0"/>
          <w:color w:val="auto"/>
          <w:szCs w:val="24"/>
          <w:highlight w:val="none"/>
        </w:rPr>
        <w:t>（1）组织情况：阿克苏职业技术学院建立预算编审专项项目领导小组，保证项目的实施。</w:t>
      </w:r>
    </w:p>
    <w:p>
      <w:pPr>
        <w:ind w:firstLine="560"/>
        <w:rPr>
          <w:color w:val="auto"/>
          <w:highlight w:val="none"/>
        </w:rPr>
      </w:pPr>
      <w:r>
        <w:rPr>
          <w:rFonts w:hint="eastAsia"/>
          <w:color w:val="auto"/>
          <w:highlight w:val="none"/>
        </w:rPr>
        <w:t>（2）管理情况：阿克苏职业技术学院严格按照项目计划执行，明确部门管理职责，根据《财政专项资金管理办法》，建立科学的财政专项资金运行机制，本着专款专用的原则，严格执行项目资金批准的使用计划和项目批复资料，不擅自调项、扩项、缩项，更不拆借、挪用、挤占和随意扣压，提高财政资金使用效益。</w:t>
      </w:r>
    </w:p>
    <w:p>
      <w:pPr>
        <w:pStyle w:val="2"/>
        <w:ind w:firstLine="560"/>
        <w:rPr>
          <w:rFonts w:ascii="仿宋" w:hAnsi="仿宋" w:eastAsia="仿宋"/>
          <w:b w:val="0"/>
          <w:bCs w:val="0"/>
          <w:color w:val="auto"/>
          <w:szCs w:val="24"/>
          <w:highlight w:val="none"/>
        </w:rPr>
      </w:pPr>
      <w:r>
        <w:rPr>
          <w:rFonts w:hint="eastAsia" w:ascii="仿宋" w:hAnsi="仿宋" w:eastAsia="仿宋"/>
          <w:b w:val="0"/>
          <w:bCs w:val="0"/>
          <w:color w:val="auto"/>
          <w:szCs w:val="24"/>
          <w:highlight w:val="none"/>
        </w:rPr>
        <w:t>（3）监管情况：阿克苏职业技术学院随时对专项项目进行监督检查，监督施工进度是否按照项目计划时间如期进行，检查项目实施内容是否与项目计划内容一致，同时对专项项目资金进行定期或不定期督查，确保项目资金专款专用。</w:t>
      </w:r>
    </w:p>
    <w:p>
      <w:pPr>
        <w:ind w:firstLine="560"/>
        <w:rPr>
          <w:color w:val="auto"/>
          <w:highlight w:val="none"/>
        </w:rPr>
      </w:pPr>
      <w:r>
        <w:rPr>
          <w:rFonts w:hint="eastAsia"/>
          <w:color w:val="auto"/>
          <w:highlight w:val="none"/>
        </w:rPr>
        <w:t>3.项目绩效情况分析</w:t>
      </w:r>
    </w:p>
    <w:p>
      <w:pPr>
        <w:ind w:firstLine="560"/>
        <w:rPr>
          <w:color w:val="auto"/>
          <w:highlight w:val="none"/>
        </w:rPr>
      </w:pPr>
      <w:r>
        <w:rPr>
          <w:rFonts w:hint="eastAsia"/>
          <w:color w:val="auto"/>
          <w:highlight w:val="none"/>
        </w:rPr>
        <w:t>（1）成本控制：阿克苏职业技术学院在其</w:t>
      </w:r>
      <w:r>
        <w:rPr>
          <w:color w:val="auto"/>
          <w:highlight w:val="none"/>
        </w:rPr>
        <w:fldChar w:fldCharType="begin"/>
      </w:r>
      <w:r>
        <w:rPr>
          <w:color w:val="auto"/>
          <w:highlight w:val="none"/>
        </w:rPr>
        <w:instrText xml:space="preserve"> HYPERLINK "https://wiki.mbalib.com/wiki/%E8%81%8C%E6%9D%83" \o "职权" </w:instrText>
      </w:r>
      <w:r>
        <w:rPr>
          <w:color w:val="auto"/>
          <w:highlight w:val="none"/>
        </w:rPr>
        <w:fldChar w:fldCharType="separate"/>
      </w:r>
      <w:r>
        <w:rPr>
          <w:color w:val="auto"/>
          <w:highlight w:val="none"/>
        </w:rPr>
        <w:t>职权</w:t>
      </w:r>
      <w:r>
        <w:rPr>
          <w:color w:val="auto"/>
          <w:highlight w:val="none"/>
        </w:rPr>
        <w:fldChar w:fldCharType="end"/>
      </w:r>
      <w:r>
        <w:rPr>
          <w:color w:val="auto"/>
          <w:highlight w:val="none"/>
        </w:rPr>
        <w:t>范围内</w:t>
      </w:r>
      <w:r>
        <w:rPr>
          <w:rFonts w:hint="eastAsia"/>
          <w:color w:val="auto"/>
          <w:highlight w:val="none"/>
        </w:rPr>
        <w:t>，明确项目职责分工和成本控制要求，对各种影响</w:t>
      </w:r>
      <w:r>
        <w:rPr>
          <w:color w:val="auto"/>
          <w:highlight w:val="none"/>
        </w:rPr>
        <w:fldChar w:fldCharType="begin"/>
      </w:r>
      <w:r>
        <w:rPr>
          <w:color w:val="auto"/>
          <w:highlight w:val="none"/>
        </w:rPr>
        <w:instrText xml:space="preserve"> HYPERLINK "https://wiki.mbalib.com/wiki/%E6%88%90%E6%9C%AC" \o "成本" </w:instrText>
      </w:r>
      <w:r>
        <w:rPr>
          <w:color w:val="auto"/>
          <w:highlight w:val="none"/>
        </w:rPr>
        <w:fldChar w:fldCharType="separate"/>
      </w:r>
      <w:r>
        <w:rPr>
          <w:color w:val="auto"/>
          <w:highlight w:val="none"/>
        </w:rPr>
        <w:t>成本</w:t>
      </w:r>
      <w:r>
        <w:rPr>
          <w:color w:val="auto"/>
          <w:highlight w:val="none"/>
        </w:rPr>
        <w:fldChar w:fldCharType="end"/>
      </w:r>
      <w:r>
        <w:rPr>
          <w:color w:val="auto"/>
          <w:highlight w:val="none"/>
        </w:rPr>
        <w:t>的因素和条件采取的一系列预防和调节措施</w:t>
      </w:r>
      <w:r>
        <w:rPr>
          <w:rFonts w:hint="eastAsia"/>
          <w:color w:val="auto"/>
          <w:highlight w:val="none"/>
        </w:rPr>
        <w:t>，科学地组织实施成本控制。</w:t>
      </w:r>
    </w:p>
    <w:p>
      <w:pPr>
        <w:pStyle w:val="2"/>
        <w:ind w:firstLine="560"/>
        <w:rPr>
          <w:rFonts w:ascii="仿宋" w:hAnsi="仿宋" w:eastAsia="仿宋"/>
          <w:b w:val="0"/>
          <w:bCs w:val="0"/>
          <w:color w:val="auto"/>
          <w:szCs w:val="24"/>
          <w:highlight w:val="none"/>
        </w:rPr>
      </w:pPr>
      <w:r>
        <w:rPr>
          <w:rFonts w:hint="eastAsia" w:ascii="仿宋" w:hAnsi="仿宋" w:eastAsia="仿宋"/>
          <w:b w:val="0"/>
          <w:bCs w:val="0"/>
          <w:color w:val="auto"/>
          <w:szCs w:val="24"/>
          <w:highlight w:val="none"/>
        </w:rPr>
        <w:t>（2）成本节约：阿克苏职业技术学院在实施专项项目过程中，无相关成本节约情况。</w:t>
      </w:r>
    </w:p>
    <w:p>
      <w:pPr>
        <w:ind w:firstLine="560"/>
        <w:rPr>
          <w:color w:val="auto"/>
          <w:highlight w:val="none"/>
        </w:rPr>
      </w:pPr>
      <w:r>
        <w:rPr>
          <w:rFonts w:hint="eastAsia"/>
          <w:color w:val="auto"/>
          <w:highlight w:val="none"/>
        </w:rPr>
        <w:t>4.政策、项目效率性分析；</w:t>
      </w:r>
    </w:p>
    <w:p>
      <w:pPr>
        <w:pStyle w:val="2"/>
        <w:ind w:firstLine="560"/>
        <w:rPr>
          <w:b w:val="0"/>
          <w:bCs w:val="0"/>
          <w:color w:val="auto"/>
          <w:highlight w:val="none"/>
        </w:rPr>
      </w:pPr>
      <w:r>
        <w:rPr>
          <w:rFonts w:hint="eastAsia"/>
          <w:b w:val="0"/>
          <w:bCs w:val="0"/>
          <w:color w:val="auto"/>
          <w:highlight w:val="none"/>
        </w:rPr>
        <w:t>（1）2019年年初部门预算安排的政府采购项目755万元，全部完成并达到预期目标。</w:t>
      </w:r>
    </w:p>
    <w:p>
      <w:pPr>
        <w:ind w:firstLine="560"/>
        <w:rPr>
          <w:color w:val="auto"/>
          <w:highlight w:val="none"/>
        </w:rPr>
      </w:pPr>
      <w:r>
        <w:rPr>
          <w:rFonts w:hint="eastAsia"/>
          <w:color w:val="auto"/>
          <w:highlight w:val="none"/>
        </w:rPr>
        <w:t>（2）</w:t>
      </w:r>
      <w:r>
        <w:rPr>
          <w:color w:val="auto"/>
          <w:highlight w:val="none"/>
        </w:rPr>
        <w:t>2019年年初部门预算安排的</w:t>
      </w:r>
      <w:r>
        <w:rPr>
          <w:rFonts w:hint="eastAsia"/>
          <w:color w:val="auto"/>
          <w:highlight w:val="none"/>
        </w:rPr>
        <w:t>非</w:t>
      </w:r>
      <w:r>
        <w:rPr>
          <w:color w:val="auto"/>
          <w:highlight w:val="none"/>
        </w:rPr>
        <w:t>政府采购项目</w:t>
      </w:r>
      <w:r>
        <w:rPr>
          <w:rFonts w:hint="eastAsia"/>
          <w:color w:val="auto"/>
          <w:highlight w:val="none"/>
        </w:rPr>
        <w:t>725</w:t>
      </w:r>
      <w:r>
        <w:rPr>
          <w:color w:val="auto"/>
          <w:highlight w:val="none"/>
        </w:rPr>
        <w:t>万元全部完成并达到预期目标。</w:t>
      </w:r>
    </w:p>
    <w:p>
      <w:pPr>
        <w:ind w:firstLine="560"/>
        <w:rPr>
          <w:color w:val="auto"/>
          <w:highlight w:val="none"/>
        </w:rPr>
      </w:pPr>
      <w:r>
        <w:rPr>
          <w:rFonts w:hint="eastAsia"/>
          <w:color w:val="auto"/>
          <w:highlight w:val="none"/>
        </w:rPr>
        <w:t>（3）</w:t>
      </w:r>
      <w:r>
        <w:rPr>
          <w:color w:val="auto"/>
          <w:highlight w:val="none"/>
        </w:rPr>
        <w:t>2019年阿克苏职业技术学院纺织工业城建设项目资金（纺织工业城建设项目）</w:t>
      </w:r>
      <w:r>
        <w:rPr>
          <w:rFonts w:hint="eastAsia"/>
          <w:color w:val="auto"/>
          <w:highlight w:val="none"/>
        </w:rPr>
        <w:t>1000万元</w:t>
      </w:r>
      <w:r>
        <w:rPr>
          <w:color w:val="auto"/>
          <w:highlight w:val="none"/>
        </w:rPr>
        <w:t>，全部完成并达到预期目标。</w:t>
      </w:r>
    </w:p>
    <w:p>
      <w:pPr>
        <w:pStyle w:val="2"/>
        <w:ind w:firstLine="560"/>
        <w:rPr>
          <w:rFonts w:ascii="仿宋" w:hAnsi="仿宋" w:eastAsia="仿宋"/>
          <w:b w:val="0"/>
          <w:bCs w:val="0"/>
          <w:color w:val="auto"/>
          <w:szCs w:val="24"/>
          <w:highlight w:val="none"/>
        </w:rPr>
      </w:pPr>
      <w:r>
        <w:rPr>
          <w:rFonts w:hint="eastAsia" w:ascii="仿宋" w:hAnsi="仿宋" w:eastAsia="仿宋"/>
          <w:b w:val="0"/>
          <w:bCs w:val="0"/>
          <w:color w:val="auto"/>
          <w:szCs w:val="24"/>
          <w:highlight w:val="none"/>
        </w:rPr>
        <w:t>（4）</w:t>
      </w:r>
      <w:r>
        <w:rPr>
          <w:rFonts w:ascii="仿宋" w:hAnsi="仿宋" w:eastAsia="仿宋"/>
          <w:b w:val="0"/>
          <w:bCs w:val="0"/>
          <w:color w:val="auto"/>
          <w:szCs w:val="24"/>
          <w:highlight w:val="none"/>
        </w:rPr>
        <w:t>2019年</w:t>
      </w:r>
      <w:r>
        <w:rPr>
          <w:rFonts w:hint="eastAsia" w:ascii="仿宋" w:hAnsi="仿宋" w:eastAsia="仿宋"/>
          <w:b w:val="0"/>
          <w:bCs w:val="0"/>
          <w:color w:val="auto"/>
          <w:szCs w:val="24"/>
          <w:highlight w:val="none"/>
        </w:rPr>
        <w:t>现代职业教育质量提升计划项目318.2万元</w:t>
      </w:r>
      <w:r>
        <w:rPr>
          <w:rFonts w:ascii="仿宋" w:hAnsi="仿宋" w:eastAsia="仿宋"/>
          <w:b w:val="0"/>
          <w:bCs w:val="0"/>
          <w:color w:val="auto"/>
          <w:szCs w:val="24"/>
          <w:highlight w:val="none"/>
        </w:rPr>
        <w:t>，</w:t>
      </w:r>
      <w:r>
        <w:rPr>
          <w:rFonts w:hint="eastAsia" w:ascii="仿宋" w:hAnsi="仿宋" w:eastAsia="仿宋"/>
          <w:b w:val="0"/>
          <w:bCs w:val="0"/>
          <w:color w:val="auto"/>
          <w:szCs w:val="24"/>
          <w:highlight w:val="none"/>
        </w:rPr>
        <w:t>实际支出112.27万元，执行率35.28%，部分达成</w:t>
      </w:r>
      <w:r>
        <w:rPr>
          <w:rFonts w:ascii="仿宋" w:hAnsi="仿宋" w:eastAsia="仿宋"/>
          <w:b w:val="0"/>
          <w:bCs w:val="0"/>
          <w:color w:val="auto"/>
          <w:szCs w:val="24"/>
          <w:highlight w:val="none"/>
        </w:rPr>
        <w:t>预期目标。</w:t>
      </w:r>
    </w:p>
    <w:p>
      <w:pPr>
        <w:ind w:firstLine="560"/>
        <w:rPr>
          <w:color w:val="auto"/>
          <w:highlight w:val="none"/>
        </w:rPr>
      </w:pPr>
      <w:r>
        <w:rPr>
          <w:rFonts w:hint="eastAsia"/>
          <w:color w:val="auto"/>
          <w:highlight w:val="none"/>
        </w:rPr>
        <w:t>（5）</w:t>
      </w:r>
      <w:r>
        <w:rPr>
          <w:color w:val="auto"/>
          <w:highlight w:val="none"/>
        </w:rPr>
        <w:t>2019年自治区第六批地方政府债券（新增一般债券）</w:t>
      </w:r>
      <w:r>
        <w:rPr>
          <w:rFonts w:hint="eastAsia"/>
          <w:color w:val="auto"/>
          <w:highlight w:val="none"/>
        </w:rPr>
        <w:t>11000万元</w:t>
      </w:r>
      <w:r>
        <w:rPr>
          <w:color w:val="auto"/>
          <w:highlight w:val="none"/>
        </w:rPr>
        <w:t>，全部完成并达到预期目标。</w:t>
      </w:r>
    </w:p>
    <w:p>
      <w:pPr>
        <w:pStyle w:val="2"/>
        <w:ind w:firstLine="560"/>
        <w:rPr>
          <w:rFonts w:ascii="仿宋" w:hAnsi="仿宋" w:eastAsia="仿宋"/>
          <w:b w:val="0"/>
          <w:bCs w:val="0"/>
          <w:color w:val="auto"/>
          <w:szCs w:val="24"/>
          <w:highlight w:val="none"/>
        </w:rPr>
      </w:pPr>
      <w:r>
        <w:rPr>
          <w:rFonts w:hint="eastAsia" w:ascii="仿宋" w:hAnsi="仿宋" w:eastAsia="仿宋"/>
          <w:b w:val="0"/>
          <w:bCs w:val="0"/>
          <w:color w:val="auto"/>
          <w:szCs w:val="24"/>
          <w:highlight w:val="none"/>
        </w:rPr>
        <w:t>（6）2019年国家奖助学金、励志奖学金项目768.97万元，全部完成并达到预期目标。</w:t>
      </w:r>
    </w:p>
    <w:p>
      <w:pPr>
        <w:ind w:firstLine="560"/>
        <w:rPr>
          <w:color w:val="auto"/>
          <w:highlight w:val="none"/>
        </w:rPr>
      </w:pPr>
      <w:r>
        <w:rPr>
          <w:rFonts w:hint="eastAsia"/>
          <w:color w:val="auto"/>
          <w:highlight w:val="none"/>
        </w:rPr>
        <w:t>（7）</w:t>
      </w:r>
      <w:r>
        <w:rPr>
          <w:color w:val="auto"/>
          <w:highlight w:val="none"/>
        </w:rPr>
        <w:t>2019年</w:t>
      </w:r>
      <w:r>
        <w:rPr>
          <w:rFonts w:hint="eastAsia"/>
          <w:color w:val="auto"/>
          <w:highlight w:val="none"/>
        </w:rPr>
        <w:t>自治区人民政府助学金、励志奖学金</w:t>
      </w:r>
      <w:r>
        <w:rPr>
          <w:color w:val="auto"/>
          <w:highlight w:val="none"/>
        </w:rPr>
        <w:t>项目</w:t>
      </w:r>
      <w:r>
        <w:rPr>
          <w:rFonts w:hint="eastAsia"/>
          <w:color w:val="auto"/>
          <w:highlight w:val="none"/>
        </w:rPr>
        <w:t>368.8</w:t>
      </w:r>
      <w:r>
        <w:rPr>
          <w:color w:val="auto"/>
          <w:highlight w:val="none"/>
        </w:rPr>
        <w:t>万元，全部完成并达到预期目标。</w:t>
      </w:r>
    </w:p>
    <w:p>
      <w:pPr>
        <w:pStyle w:val="2"/>
        <w:ind w:firstLine="560"/>
        <w:rPr>
          <w:rFonts w:ascii="仿宋" w:hAnsi="仿宋" w:eastAsia="仿宋"/>
          <w:b w:val="0"/>
          <w:bCs w:val="0"/>
          <w:color w:val="auto"/>
          <w:szCs w:val="24"/>
          <w:highlight w:val="none"/>
        </w:rPr>
      </w:pPr>
      <w:r>
        <w:rPr>
          <w:rFonts w:hint="eastAsia" w:ascii="仿宋" w:hAnsi="仿宋" w:eastAsia="仿宋"/>
          <w:b w:val="0"/>
          <w:bCs w:val="0"/>
          <w:color w:val="auto"/>
          <w:szCs w:val="24"/>
          <w:highlight w:val="none"/>
        </w:rPr>
        <w:t>（8）2019年中等职业教育“三免”项目1314.43万元，实际支出593.66万元，执行率45.16%，部分达成</w:t>
      </w:r>
      <w:r>
        <w:rPr>
          <w:rFonts w:ascii="仿宋" w:hAnsi="仿宋" w:eastAsia="仿宋"/>
          <w:b w:val="0"/>
          <w:bCs w:val="0"/>
          <w:color w:val="auto"/>
          <w:szCs w:val="24"/>
          <w:highlight w:val="none"/>
        </w:rPr>
        <w:t>预期目标。</w:t>
      </w:r>
    </w:p>
    <w:p>
      <w:pPr>
        <w:ind w:firstLine="560"/>
        <w:rPr>
          <w:color w:val="auto"/>
          <w:highlight w:val="none"/>
        </w:rPr>
      </w:pPr>
      <w:r>
        <w:rPr>
          <w:rFonts w:hint="eastAsia"/>
          <w:color w:val="auto"/>
          <w:highlight w:val="none"/>
        </w:rPr>
        <w:t>（9）</w:t>
      </w:r>
      <w:r>
        <w:rPr>
          <w:color w:val="auto"/>
          <w:highlight w:val="none"/>
        </w:rPr>
        <w:t>2019年中等职业</w:t>
      </w:r>
      <w:r>
        <w:rPr>
          <w:rFonts w:hint="eastAsia"/>
          <w:color w:val="auto"/>
          <w:highlight w:val="none"/>
        </w:rPr>
        <w:t>学校奖助学金</w:t>
      </w:r>
      <w:r>
        <w:rPr>
          <w:color w:val="auto"/>
          <w:highlight w:val="none"/>
        </w:rPr>
        <w:t>项目</w:t>
      </w:r>
      <w:r>
        <w:rPr>
          <w:rFonts w:hint="eastAsia"/>
          <w:color w:val="auto"/>
          <w:highlight w:val="none"/>
        </w:rPr>
        <w:t>499.89</w:t>
      </w:r>
      <w:r>
        <w:rPr>
          <w:color w:val="auto"/>
          <w:highlight w:val="none"/>
        </w:rPr>
        <w:t>万元，实际支出</w:t>
      </w:r>
      <w:r>
        <w:rPr>
          <w:rFonts w:hint="eastAsia"/>
          <w:color w:val="auto"/>
          <w:highlight w:val="none"/>
        </w:rPr>
        <w:t>397.6</w:t>
      </w:r>
      <w:r>
        <w:rPr>
          <w:color w:val="auto"/>
          <w:highlight w:val="none"/>
        </w:rPr>
        <w:t>万元，执行率</w:t>
      </w:r>
      <w:r>
        <w:rPr>
          <w:rFonts w:hint="eastAsia"/>
          <w:color w:val="auto"/>
          <w:highlight w:val="none"/>
        </w:rPr>
        <w:t>79.54</w:t>
      </w:r>
      <w:r>
        <w:rPr>
          <w:color w:val="auto"/>
          <w:highlight w:val="none"/>
        </w:rPr>
        <w:t>%，部分达成预期目标。</w:t>
      </w:r>
    </w:p>
    <w:p>
      <w:pPr>
        <w:pStyle w:val="2"/>
        <w:ind w:firstLine="560"/>
        <w:rPr>
          <w:rFonts w:ascii="仿宋" w:hAnsi="仿宋" w:eastAsia="仿宋"/>
          <w:b w:val="0"/>
          <w:bCs w:val="0"/>
          <w:color w:val="auto"/>
          <w:szCs w:val="24"/>
          <w:highlight w:val="none"/>
        </w:rPr>
      </w:pPr>
      <w:r>
        <w:rPr>
          <w:rFonts w:hint="eastAsia" w:ascii="仿宋" w:hAnsi="仿宋" w:eastAsia="仿宋"/>
          <w:b w:val="0"/>
          <w:bCs w:val="0"/>
          <w:color w:val="auto"/>
          <w:szCs w:val="24"/>
          <w:highlight w:val="none"/>
        </w:rPr>
        <w:t>（10）2019年</w:t>
      </w:r>
      <w:r>
        <w:rPr>
          <w:rFonts w:ascii="仿宋" w:hAnsi="仿宋" w:eastAsia="仿宋"/>
          <w:b w:val="0"/>
          <w:bCs w:val="0"/>
          <w:color w:val="auto"/>
          <w:szCs w:val="24"/>
          <w:highlight w:val="none"/>
        </w:rPr>
        <w:t>2019年自治区普通高等学校伙食补助资金</w:t>
      </w:r>
      <w:r>
        <w:rPr>
          <w:rFonts w:hint="eastAsia" w:ascii="仿宋" w:hAnsi="仿宋" w:eastAsia="仿宋"/>
          <w:b w:val="0"/>
          <w:bCs w:val="0"/>
          <w:color w:val="auto"/>
          <w:szCs w:val="24"/>
          <w:highlight w:val="none"/>
        </w:rPr>
        <w:t>122.14万元，实际支出22.62万元，执行率18.52%，部分达成</w:t>
      </w:r>
      <w:r>
        <w:rPr>
          <w:rFonts w:ascii="仿宋" w:hAnsi="仿宋" w:eastAsia="仿宋"/>
          <w:b w:val="0"/>
          <w:bCs w:val="0"/>
          <w:color w:val="auto"/>
          <w:szCs w:val="24"/>
          <w:highlight w:val="none"/>
        </w:rPr>
        <w:t>预期目标。</w:t>
      </w:r>
    </w:p>
    <w:p>
      <w:pPr>
        <w:ind w:firstLine="560"/>
        <w:rPr>
          <w:color w:val="auto"/>
          <w:highlight w:val="none"/>
        </w:rPr>
      </w:pPr>
      <w:r>
        <w:rPr>
          <w:rFonts w:hint="eastAsia"/>
          <w:color w:val="auto"/>
          <w:highlight w:val="none"/>
        </w:rPr>
        <w:t>（11）2019</w:t>
      </w:r>
      <w:r>
        <w:rPr>
          <w:color w:val="auto"/>
          <w:highlight w:val="none"/>
        </w:rPr>
        <w:t>年</w:t>
      </w:r>
      <w:r>
        <w:rPr>
          <w:rFonts w:hint="eastAsia"/>
          <w:color w:val="auto"/>
          <w:highlight w:val="none"/>
        </w:rPr>
        <w:t>自治区高校班主任、辅导员岗位补贴39.7万元，</w:t>
      </w:r>
      <w:r>
        <w:rPr>
          <w:color w:val="auto"/>
          <w:highlight w:val="none"/>
        </w:rPr>
        <w:t>全部完成并达到预期目标。</w:t>
      </w:r>
    </w:p>
    <w:p>
      <w:pPr>
        <w:ind w:firstLine="560"/>
        <w:rPr>
          <w:color w:val="auto"/>
          <w:highlight w:val="none"/>
        </w:rPr>
      </w:pPr>
      <w:r>
        <w:rPr>
          <w:rFonts w:hint="eastAsia"/>
          <w:color w:val="auto"/>
          <w:highlight w:val="none"/>
        </w:rPr>
        <w:t>（12）</w:t>
      </w:r>
      <w:r>
        <w:rPr>
          <w:color w:val="auto"/>
          <w:highlight w:val="none"/>
        </w:rPr>
        <w:t>2019年高校少数民族预科学生学费和住宿费补助资金</w:t>
      </w:r>
      <w:r>
        <w:rPr>
          <w:rFonts w:hint="eastAsia"/>
          <w:color w:val="auto"/>
          <w:highlight w:val="none"/>
        </w:rPr>
        <w:t>467.6万元，实际支出182.02万元，执行率38.93%，部分达成预期目标。</w:t>
      </w:r>
    </w:p>
    <w:p>
      <w:pPr>
        <w:ind w:firstLine="560"/>
        <w:rPr>
          <w:color w:val="auto"/>
          <w:highlight w:val="none"/>
        </w:rPr>
      </w:pPr>
      <w:r>
        <w:rPr>
          <w:rFonts w:hint="eastAsia"/>
          <w:color w:val="auto"/>
          <w:highlight w:val="none"/>
        </w:rPr>
        <w:t>（13）</w:t>
      </w:r>
      <w:r>
        <w:rPr>
          <w:color w:val="auto"/>
          <w:highlight w:val="none"/>
        </w:rPr>
        <w:t>2019年自治区“访惠聚”驻村第一书记工作经费、驻村工作人员补助经费、为民办实事工作经费</w:t>
      </w:r>
      <w:r>
        <w:rPr>
          <w:rFonts w:hint="eastAsia"/>
          <w:color w:val="auto"/>
          <w:highlight w:val="none"/>
        </w:rPr>
        <w:t>39.92万元，实际支出182.02万元，执行率38.93%，全部完成并达到预期目标。</w:t>
      </w:r>
    </w:p>
    <w:p>
      <w:pPr>
        <w:ind w:firstLine="560"/>
        <w:rPr>
          <w:color w:val="auto"/>
          <w:highlight w:val="none"/>
        </w:rPr>
      </w:pPr>
      <w:r>
        <w:rPr>
          <w:rFonts w:hint="eastAsia"/>
          <w:color w:val="auto"/>
          <w:highlight w:val="none"/>
        </w:rPr>
        <w:t>（14）</w:t>
      </w:r>
      <w:r>
        <w:rPr>
          <w:color w:val="auto"/>
          <w:highlight w:val="none"/>
        </w:rPr>
        <w:t>2019年高校学生服义务兵役</w:t>
      </w:r>
      <w:r>
        <w:rPr>
          <w:rFonts w:hint="eastAsia"/>
          <w:color w:val="auto"/>
          <w:highlight w:val="none"/>
        </w:rPr>
        <w:t>、</w:t>
      </w:r>
      <w:r>
        <w:rPr>
          <w:color w:val="auto"/>
          <w:highlight w:val="none"/>
        </w:rPr>
        <w:t>退役士兵</w:t>
      </w:r>
      <w:r>
        <w:rPr>
          <w:rFonts w:hint="eastAsia"/>
          <w:color w:val="auto"/>
          <w:highlight w:val="none"/>
        </w:rPr>
        <w:t>、</w:t>
      </w:r>
      <w:r>
        <w:rPr>
          <w:color w:val="auto"/>
          <w:highlight w:val="none"/>
        </w:rPr>
        <w:t>直招士官费补助经费</w:t>
      </w:r>
      <w:r>
        <w:rPr>
          <w:rFonts w:hint="eastAsia"/>
          <w:color w:val="auto"/>
          <w:highlight w:val="none"/>
        </w:rPr>
        <w:t>15万元，</w:t>
      </w:r>
      <w:r>
        <w:rPr>
          <w:color w:val="auto"/>
          <w:highlight w:val="none"/>
        </w:rPr>
        <w:t>全部完成并达到预期目标。</w:t>
      </w:r>
    </w:p>
    <w:p>
      <w:pPr>
        <w:pStyle w:val="2"/>
        <w:ind w:firstLine="560"/>
        <w:rPr>
          <w:rFonts w:ascii="仿宋" w:hAnsi="仿宋" w:eastAsia="仿宋"/>
          <w:b w:val="0"/>
          <w:bCs w:val="0"/>
          <w:color w:val="auto"/>
          <w:szCs w:val="24"/>
          <w:highlight w:val="none"/>
        </w:rPr>
      </w:pPr>
      <w:r>
        <w:rPr>
          <w:rFonts w:hint="eastAsia" w:ascii="仿宋" w:hAnsi="仿宋" w:eastAsia="仿宋"/>
          <w:b w:val="0"/>
          <w:bCs w:val="0"/>
          <w:color w:val="auto"/>
          <w:szCs w:val="24"/>
          <w:highlight w:val="none"/>
        </w:rPr>
        <w:t>（15）新校区绿化费和基础设施维修改造经费600</w:t>
      </w:r>
      <w:r>
        <w:rPr>
          <w:rFonts w:ascii="仿宋" w:hAnsi="仿宋" w:eastAsia="仿宋"/>
          <w:b w:val="0"/>
          <w:bCs w:val="0"/>
          <w:color w:val="auto"/>
          <w:szCs w:val="24"/>
          <w:highlight w:val="none"/>
        </w:rPr>
        <w:t>万元，全部完成并达到预期目标。</w:t>
      </w:r>
    </w:p>
    <w:p>
      <w:pPr>
        <w:pStyle w:val="2"/>
        <w:ind w:firstLine="560"/>
        <w:rPr>
          <w:rFonts w:ascii="仿宋" w:hAnsi="仿宋" w:eastAsia="仿宋"/>
          <w:b w:val="0"/>
          <w:bCs w:val="0"/>
          <w:color w:val="auto"/>
          <w:szCs w:val="24"/>
          <w:highlight w:val="none"/>
        </w:rPr>
      </w:pPr>
      <w:r>
        <w:rPr>
          <w:rFonts w:hint="eastAsia" w:ascii="仿宋" w:hAnsi="仿宋" w:eastAsia="仿宋"/>
          <w:b w:val="0"/>
          <w:bCs w:val="0"/>
          <w:color w:val="auto"/>
          <w:szCs w:val="24"/>
          <w:highlight w:val="none"/>
        </w:rPr>
        <w:t>（16）德育专项经费（高校大学生思想政治教育专项课题经费）（</w:t>
      </w:r>
      <w:r>
        <w:rPr>
          <w:rFonts w:ascii="仿宋" w:hAnsi="仿宋" w:eastAsia="仿宋"/>
          <w:b w:val="0"/>
          <w:bCs w:val="0"/>
          <w:color w:val="auto"/>
          <w:szCs w:val="24"/>
          <w:highlight w:val="none"/>
        </w:rPr>
        <w:t>2017年额度）</w:t>
      </w:r>
      <w:r>
        <w:rPr>
          <w:rFonts w:hint="eastAsia" w:ascii="仿宋" w:hAnsi="仿宋" w:eastAsia="仿宋"/>
          <w:b w:val="0"/>
          <w:bCs w:val="0"/>
          <w:color w:val="auto"/>
          <w:szCs w:val="24"/>
          <w:highlight w:val="none"/>
        </w:rPr>
        <w:t>1.5万元，</w:t>
      </w:r>
      <w:r>
        <w:rPr>
          <w:rFonts w:ascii="仿宋" w:hAnsi="仿宋" w:eastAsia="仿宋"/>
          <w:b w:val="0"/>
          <w:bCs w:val="0"/>
          <w:color w:val="auto"/>
          <w:szCs w:val="24"/>
          <w:highlight w:val="none"/>
        </w:rPr>
        <w:t>全部完成并达到预期目标。</w:t>
      </w:r>
    </w:p>
    <w:p>
      <w:pPr>
        <w:pStyle w:val="2"/>
        <w:ind w:firstLine="560"/>
        <w:rPr>
          <w:rFonts w:ascii="仿宋" w:hAnsi="仿宋" w:eastAsia="仿宋"/>
          <w:b w:val="0"/>
          <w:bCs w:val="0"/>
          <w:color w:val="auto"/>
          <w:szCs w:val="24"/>
          <w:highlight w:val="none"/>
        </w:rPr>
      </w:pPr>
      <w:r>
        <w:rPr>
          <w:rFonts w:hint="eastAsia" w:ascii="仿宋" w:hAnsi="仿宋" w:eastAsia="仿宋"/>
          <w:b w:val="0"/>
          <w:bCs w:val="0"/>
          <w:color w:val="auto"/>
          <w:szCs w:val="24"/>
          <w:highlight w:val="none"/>
        </w:rPr>
        <w:t>（17）</w:t>
      </w:r>
      <w:r>
        <w:rPr>
          <w:rFonts w:ascii="仿宋" w:hAnsi="仿宋" w:eastAsia="仿宋"/>
          <w:b w:val="0"/>
          <w:bCs w:val="0"/>
          <w:color w:val="auto"/>
          <w:szCs w:val="24"/>
          <w:highlight w:val="none"/>
        </w:rPr>
        <w:t>2017年</w:t>
      </w:r>
      <w:r>
        <w:rPr>
          <w:rFonts w:hint="eastAsia" w:ascii="仿宋" w:hAnsi="仿宋" w:eastAsia="仿宋"/>
          <w:b w:val="0"/>
          <w:bCs w:val="0"/>
          <w:color w:val="auto"/>
          <w:szCs w:val="24"/>
          <w:highlight w:val="none"/>
        </w:rPr>
        <w:t>、2018年</w:t>
      </w:r>
      <w:r>
        <w:rPr>
          <w:rFonts w:ascii="仿宋" w:hAnsi="仿宋" w:eastAsia="仿宋"/>
          <w:b w:val="0"/>
          <w:bCs w:val="0"/>
          <w:color w:val="auto"/>
          <w:szCs w:val="24"/>
          <w:highlight w:val="none"/>
        </w:rPr>
        <w:t>现代职业教育质量提升</w:t>
      </w:r>
      <w:r>
        <w:rPr>
          <w:rFonts w:hint="eastAsia" w:ascii="仿宋" w:hAnsi="仿宋" w:eastAsia="仿宋"/>
          <w:b w:val="0"/>
          <w:bCs w:val="0"/>
          <w:color w:val="auto"/>
          <w:szCs w:val="24"/>
          <w:highlight w:val="none"/>
        </w:rPr>
        <w:t>计划项目1310.13万元，</w:t>
      </w:r>
      <w:r>
        <w:rPr>
          <w:rFonts w:ascii="仿宋" w:hAnsi="仿宋" w:eastAsia="仿宋"/>
          <w:b w:val="0"/>
          <w:bCs w:val="0"/>
          <w:color w:val="auto"/>
          <w:szCs w:val="24"/>
          <w:highlight w:val="none"/>
        </w:rPr>
        <w:t>全部完成并达到预期目标。</w:t>
      </w:r>
    </w:p>
    <w:p>
      <w:pPr>
        <w:pStyle w:val="2"/>
        <w:ind w:firstLine="560"/>
        <w:rPr>
          <w:rFonts w:ascii="仿宋" w:hAnsi="仿宋" w:eastAsia="仿宋"/>
          <w:b w:val="0"/>
          <w:bCs w:val="0"/>
          <w:color w:val="auto"/>
          <w:szCs w:val="24"/>
          <w:highlight w:val="none"/>
        </w:rPr>
      </w:pPr>
      <w:r>
        <w:rPr>
          <w:rFonts w:hint="eastAsia" w:ascii="仿宋" w:hAnsi="仿宋" w:eastAsia="仿宋"/>
          <w:b w:val="0"/>
          <w:bCs w:val="0"/>
          <w:color w:val="auto"/>
          <w:szCs w:val="24"/>
          <w:highlight w:val="none"/>
        </w:rPr>
        <w:t>（18）</w:t>
      </w:r>
      <w:r>
        <w:rPr>
          <w:rFonts w:ascii="仿宋" w:hAnsi="仿宋" w:eastAsia="仿宋"/>
          <w:b w:val="0"/>
          <w:bCs w:val="0"/>
          <w:color w:val="auto"/>
          <w:szCs w:val="24"/>
          <w:highlight w:val="none"/>
        </w:rPr>
        <w:t>2017年自治区高等学校科研计划（2017年额度）</w:t>
      </w:r>
      <w:r>
        <w:rPr>
          <w:rFonts w:hint="eastAsia" w:ascii="仿宋" w:hAnsi="仿宋" w:eastAsia="仿宋"/>
          <w:b w:val="0"/>
          <w:bCs w:val="0"/>
          <w:color w:val="auto"/>
          <w:szCs w:val="24"/>
          <w:highlight w:val="none"/>
        </w:rPr>
        <w:t>2.69万元，</w:t>
      </w:r>
      <w:r>
        <w:rPr>
          <w:rFonts w:ascii="仿宋" w:hAnsi="仿宋" w:eastAsia="仿宋"/>
          <w:b w:val="0"/>
          <w:bCs w:val="0"/>
          <w:color w:val="auto"/>
          <w:szCs w:val="24"/>
          <w:highlight w:val="none"/>
        </w:rPr>
        <w:t>全部完成并达到预期目标。</w:t>
      </w:r>
    </w:p>
    <w:p>
      <w:pPr>
        <w:pStyle w:val="2"/>
        <w:ind w:firstLine="560"/>
        <w:rPr>
          <w:rFonts w:ascii="仿宋" w:hAnsi="仿宋" w:eastAsia="仿宋"/>
          <w:b w:val="0"/>
          <w:bCs w:val="0"/>
          <w:color w:val="auto"/>
          <w:szCs w:val="24"/>
          <w:highlight w:val="none"/>
        </w:rPr>
      </w:pPr>
      <w:r>
        <w:rPr>
          <w:rFonts w:hint="eastAsia" w:ascii="仿宋" w:hAnsi="仿宋" w:eastAsia="仿宋"/>
          <w:b w:val="0"/>
          <w:bCs w:val="0"/>
          <w:color w:val="auto"/>
          <w:szCs w:val="24"/>
          <w:highlight w:val="none"/>
        </w:rPr>
        <w:t>（19）</w:t>
      </w:r>
      <w:r>
        <w:rPr>
          <w:rFonts w:ascii="仿宋" w:hAnsi="仿宋" w:eastAsia="仿宋"/>
          <w:b w:val="0"/>
          <w:bCs w:val="0"/>
          <w:color w:val="auto"/>
          <w:szCs w:val="24"/>
          <w:highlight w:val="none"/>
        </w:rPr>
        <w:t>2018</w:t>
      </w:r>
      <w:r>
        <w:rPr>
          <w:rFonts w:hint="eastAsia" w:ascii="仿宋" w:hAnsi="仿宋" w:eastAsia="仿宋"/>
          <w:b w:val="0"/>
          <w:bCs w:val="0"/>
          <w:color w:val="auto"/>
          <w:szCs w:val="24"/>
          <w:highlight w:val="none"/>
        </w:rPr>
        <w:t>年高校少数民族预科生学费和住宿费补助资金（</w:t>
      </w:r>
      <w:r>
        <w:rPr>
          <w:rFonts w:ascii="仿宋" w:hAnsi="仿宋" w:eastAsia="仿宋"/>
          <w:b w:val="0"/>
          <w:bCs w:val="0"/>
          <w:color w:val="auto"/>
          <w:szCs w:val="24"/>
          <w:highlight w:val="none"/>
        </w:rPr>
        <w:t>2018</w:t>
      </w:r>
      <w:r>
        <w:rPr>
          <w:rFonts w:hint="eastAsia" w:ascii="仿宋" w:hAnsi="仿宋" w:eastAsia="仿宋"/>
          <w:b w:val="0"/>
          <w:bCs w:val="0"/>
          <w:color w:val="auto"/>
          <w:szCs w:val="24"/>
          <w:highlight w:val="none"/>
        </w:rPr>
        <w:t>年额度）389.34万元，</w:t>
      </w:r>
      <w:r>
        <w:rPr>
          <w:rFonts w:ascii="仿宋" w:hAnsi="仿宋" w:eastAsia="仿宋"/>
          <w:b w:val="0"/>
          <w:bCs w:val="0"/>
          <w:color w:val="auto"/>
          <w:szCs w:val="24"/>
          <w:highlight w:val="none"/>
        </w:rPr>
        <w:t>全部完成并达到预期目标。</w:t>
      </w:r>
    </w:p>
    <w:p>
      <w:pPr>
        <w:pStyle w:val="2"/>
        <w:ind w:firstLine="560"/>
        <w:rPr>
          <w:rFonts w:ascii="仿宋" w:hAnsi="仿宋" w:eastAsia="仿宋"/>
          <w:b w:val="0"/>
          <w:bCs w:val="0"/>
          <w:color w:val="auto"/>
          <w:szCs w:val="24"/>
          <w:highlight w:val="none"/>
        </w:rPr>
      </w:pPr>
      <w:r>
        <w:rPr>
          <w:rFonts w:hint="eastAsia" w:ascii="仿宋" w:hAnsi="仿宋" w:eastAsia="仿宋"/>
          <w:b w:val="0"/>
          <w:bCs w:val="0"/>
          <w:color w:val="auto"/>
          <w:szCs w:val="24"/>
          <w:highlight w:val="none"/>
        </w:rPr>
        <w:t>（20）</w:t>
      </w:r>
      <w:r>
        <w:rPr>
          <w:rFonts w:ascii="仿宋" w:hAnsi="仿宋" w:eastAsia="仿宋"/>
          <w:b w:val="0"/>
          <w:bCs w:val="0"/>
          <w:color w:val="auto"/>
          <w:szCs w:val="24"/>
          <w:highlight w:val="none"/>
        </w:rPr>
        <w:t>2018年高校自治区人民政府助学金资金（2018年额度）</w:t>
      </w:r>
      <w:r>
        <w:rPr>
          <w:rFonts w:hint="eastAsia" w:ascii="仿宋" w:hAnsi="仿宋" w:eastAsia="仿宋"/>
          <w:b w:val="0"/>
          <w:bCs w:val="0"/>
          <w:color w:val="auto"/>
          <w:szCs w:val="24"/>
          <w:highlight w:val="none"/>
        </w:rPr>
        <w:t>161.8万元，</w:t>
      </w:r>
      <w:r>
        <w:rPr>
          <w:rFonts w:ascii="仿宋" w:hAnsi="仿宋" w:eastAsia="仿宋"/>
          <w:b w:val="0"/>
          <w:bCs w:val="0"/>
          <w:color w:val="auto"/>
          <w:szCs w:val="24"/>
          <w:highlight w:val="none"/>
        </w:rPr>
        <w:t>全部完成并达到预期目标。</w:t>
      </w:r>
    </w:p>
    <w:p>
      <w:pPr>
        <w:ind w:firstLine="560"/>
        <w:rPr>
          <w:color w:val="auto"/>
          <w:highlight w:val="none"/>
        </w:rPr>
      </w:pPr>
      <w:r>
        <w:rPr>
          <w:rFonts w:hint="eastAsia"/>
          <w:color w:val="auto"/>
          <w:highlight w:val="none"/>
        </w:rPr>
        <w:t>（21）2018年中等职业教育“三免一补”项目707.6万元，</w:t>
      </w:r>
      <w:r>
        <w:rPr>
          <w:color w:val="auto"/>
          <w:highlight w:val="none"/>
        </w:rPr>
        <w:t>全部完成并达到预期目标。</w:t>
      </w:r>
    </w:p>
    <w:p>
      <w:pPr>
        <w:ind w:firstLine="560"/>
        <w:rPr>
          <w:color w:val="auto"/>
          <w:highlight w:val="none"/>
        </w:rPr>
      </w:pPr>
      <w:r>
        <w:rPr>
          <w:rFonts w:hint="eastAsia"/>
          <w:color w:val="auto"/>
          <w:highlight w:val="none"/>
        </w:rPr>
        <w:t>（22）</w:t>
      </w:r>
      <w:r>
        <w:rPr>
          <w:color w:val="auto"/>
          <w:highlight w:val="none"/>
        </w:rPr>
        <w:t>2018年</w:t>
      </w:r>
      <w:r>
        <w:rPr>
          <w:rFonts w:hint="eastAsia"/>
          <w:color w:val="auto"/>
          <w:highlight w:val="none"/>
        </w:rPr>
        <w:t>高职国家奖助学金43.18万元，</w:t>
      </w:r>
      <w:r>
        <w:rPr>
          <w:color w:val="auto"/>
          <w:highlight w:val="none"/>
        </w:rPr>
        <w:t>全部完成并达到预期目标。</w:t>
      </w:r>
    </w:p>
    <w:p>
      <w:pPr>
        <w:ind w:firstLine="560"/>
        <w:rPr>
          <w:color w:val="auto"/>
          <w:highlight w:val="none"/>
        </w:rPr>
      </w:pPr>
      <w:r>
        <w:rPr>
          <w:rFonts w:hint="eastAsia"/>
          <w:color w:val="auto"/>
          <w:highlight w:val="none"/>
        </w:rPr>
        <w:t>（23）</w:t>
      </w:r>
      <w:r>
        <w:rPr>
          <w:color w:val="auto"/>
          <w:highlight w:val="none"/>
        </w:rPr>
        <w:t>2018年</w:t>
      </w:r>
      <w:r>
        <w:rPr>
          <w:rFonts w:hint="eastAsia"/>
          <w:color w:val="auto"/>
          <w:highlight w:val="none"/>
        </w:rPr>
        <w:t>高校学生伙食补助项目49.99万元，</w:t>
      </w:r>
      <w:r>
        <w:rPr>
          <w:color w:val="auto"/>
          <w:highlight w:val="none"/>
        </w:rPr>
        <w:t>全部完成并达到预期目标。</w:t>
      </w:r>
    </w:p>
    <w:p>
      <w:pPr>
        <w:ind w:firstLine="560"/>
        <w:rPr>
          <w:color w:val="auto"/>
          <w:highlight w:val="none"/>
        </w:rPr>
      </w:pPr>
      <w:r>
        <w:rPr>
          <w:rFonts w:hint="eastAsia"/>
          <w:color w:val="auto"/>
          <w:highlight w:val="none"/>
        </w:rPr>
        <w:t>（24）</w:t>
      </w:r>
      <w:r>
        <w:rPr>
          <w:color w:val="auto"/>
          <w:highlight w:val="none"/>
        </w:rPr>
        <w:t>2018年自治区“访惠聚”驻村工作队经费（2018年额度）</w:t>
      </w:r>
      <w:r>
        <w:rPr>
          <w:rFonts w:hint="eastAsia"/>
          <w:color w:val="auto"/>
          <w:highlight w:val="none"/>
        </w:rPr>
        <w:t>2.12万元，</w:t>
      </w:r>
      <w:r>
        <w:rPr>
          <w:color w:val="auto"/>
          <w:highlight w:val="none"/>
        </w:rPr>
        <w:t>全部完成并达到预期目标。</w:t>
      </w:r>
    </w:p>
    <w:p>
      <w:pPr>
        <w:ind w:firstLine="560"/>
        <w:rPr>
          <w:b/>
          <w:bCs/>
          <w:color w:val="auto"/>
          <w:highlight w:val="none"/>
        </w:rPr>
      </w:pPr>
      <w:r>
        <w:rPr>
          <w:rFonts w:hint="eastAsia"/>
          <w:color w:val="auto"/>
          <w:highlight w:val="none"/>
        </w:rPr>
        <w:t>（25）德育专项经费（高校思想政治理论课重点课程建设经费）（</w:t>
      </w:r>
      <w:r>
        <w:rPr>
          <w:color w:val="auto"/>
          <w:highlight w:val="none"/>
        </w:rPr>
        <w:t>2017年额度）</w:t>
      </w:r>
      <w:r>
        <w:rPr>
          <w:rFonts w:hint="eastAsia"/>
          <w:color w:val="auto"/>
          <w:highlight w:val="none"/>
        </w:rPr>
        <w:t>2万元，</w:t>
      </w:r>
      <w:r>
        <w:rPr>
          <w:color w:val="auto"/>
          <w:highlight w:val="none"/>
        </w:rPr>
        <w:t>全部完成并达到预期目标。</w:t>
      </w:r>
    </w:p>
    <w:p>
      <w:pPr>
        <w:pStyle w:val="2"/>
        <w:ind w:firstLine="560"/>
        <w:rPr>
          <w:rFonts w:ascii="仿宋" w:hAnsi="仿宋" w:eastAsia="仿宋"/>
          <w:b w:val="0"/>
          <w:bCs w:val="0"/>
          <w:color w:val="auto"/>
          <w:szCs w:val="24"/>
          <w:highlight w:val="none"/>
        </w:rPr>
      </w:pPr>
      <w:r>
        <w:rPr>
          <w:rFonts w:hint="eastAsia" w:ascii="仿宋" w:hAnsi="仿宋" w:eastAsia="仿宋"/>
          <w:b w:val="0"/>
          <w:bCs w:val="0"/>
          <w:color w:val="auto"/>
          <w:szCs w:val="24"/>
          <w:highlight w:val="none"/>
        </w:rPr>
        <w:t>（26）自治区教育综合改革试点项目立项课题经费（</w:t>
      </w:r>
      <w:r>
        <w:rPr>
          <w:rFonts w:ascii="仿宋" w:hAnsi="仿宋" w:eastAsia="仿宋"/>
          <w:b w:val="0"/>
          <w:bCs w:val="0"/>
          <w:color w:val="auto"/>
          <w:szCs w:val="24"/>
          <w:highlight w:val="none"/>
        </w:rPr>
        <w:t>2018年额度）</w:t>
      </w:r>
      <w:r>
        <w:rPr>
          <w:rFonts w:hint="eastAsia" w:ascii="仿宋" w:hAnsi="仿宋" w:eastAsia="仿宋"/>
          <w:b w:val="0"/>
          <w:bCs w:val="0"/>
          <w:color w:val="auto"/>
          <w:szCs w:val="24"/>
          <w:highlight w:val="none"/>
        </w:rPr>
        <w:t>0.23万元，</w:t>
      </w:r>
      <w:r>
        <w:rPr>
          <w:rFonts w:ascii="仿宋" w:hAnsi="仿宋" w:eastAsia="仿宋"/>
          <w:b w:val="0"/>
          <w:bCs w:val="0"/>
          <w:color w:val="auto"/>
          <w:szCs w:val="24"/>
          <w:highlight w:val="none"/>
        </w:rPr>
        <w:t>全部完成并达到预期目标。</w:t>
      </w:r>
    </w:p>
    <w:p>
      <w:pPr>
        <w:ind w:firstLine="560"/>
        <w:rPr>
          <w:color w:val="auto"/>
          <w:highlight w:val="none"/>
        </w:rPr>
      </w:pPr>
      <w:r>
        <w:rPr>
          <w:rFonts w:hint="eastAsia"/>
          <w:color w:val="auto"/>
          <w:highlight w:val="none"/>
        </w:rPr>
        <w:t>5.政策、项目效益性分析。</w:t>
      </w:r>
    </w:p>
    <w:p>
      <w:pPr>
        <w:pStyle w:val="2"/>
        <w:ind w:firstLine="560"/>
        <w:rPr>
          <w:b w:val="0"/>
          <w:bCs w:val="0"/>
          <w:color w:val="auto"/>
          <w:highlight w:val="none"/>
        </w:rPr>
      </w:pPr>
      <w:r>
        <w:rPr>
          <w:rFonts w:hint="eastAsia"/>
          <w:b w:val="0"/>
          <w:bCs w:val="0"/>
          <w:color w:val="auto"/>
          <w:highlight w:val="none"/>
        </w:rPr>
        <w:t>（1）中高职学生资助资金项目的实施，切实减轻了家庭困难学生的负担，帮助学生顺利完成学业，有效提高了学生的学习积极性，促进了职业教育的快速发展，保障了教育的公平性，降低了学生的辍学率，为国家脱贫攻坚提供了助力；（2）现代职业教育质量提升计划项目的实施，加强了学院实验室、实训基地建设，提高了职业院校师资水平，对职业教育人才培养发挥了长期的持续的作用；（3）基础设施建设、改造类项目的实施，改善了职业院校的基础办学条件，提高了学院学历教育和职业培训水平，为地方提供学用结合的高水平技能人才和地区富裕劳动力再就业培训的水平得到大幅提升，提高了社会就业率；（4）教师补助类项目的实施，对提高教师待遇水平，提高教师工作积极性起到了促进作用，保障了教学的顺利运行，，通过教育教学保障经费项目的实施，促进职业教育的快速发展，为持续培养人才提供了保障；（5）科研类项目的实施，充分体现了地方对支持高职学院学、研结合，服务区域经济发展的宗旨，对学院快速、高效地将理论知识转化为科技生产力提供了助力。（6）访惠聚驻村工作队经费项目的实施保障了驻村工作顺利开展，有效提升了驻村工作队完成工作任务的效率，提高了服务基层、为村民办实事、办好事的能力。</w:t>
      </w:r>
    </w:p>
    <w:p>
      <w:pPr>
        <w:pStyle w:val="3"/>
        <w:ind w:firstLine="562"/>
        <w:rPr>
          <w:color w:val="auto"/>
          <w:highlight w:val="none"/>
        </w:rPr>
      </w:pPr>
      <w:r>
        <w:rPr>
          <w:rFonts w:hint="eastAsia"/>
          <w:color w:val="auto"/>
          <w:highlight w:val="none"/>
        </w:rPr>
        <w:t>四、资产管理情况</w:t>
      </w:r>
    </w:p>
    <w:p>
      <w:pPr>
        <w:ind w:firstLine="560"/>
        <w:rPr>
          <w:color w:val="auto"/>
          <w:highlight w:val="none"/>
        </w:rPr>
      </w:pPr>
      <w:bookmarkStart w:id="0" w:name="_Hlk515129682"/>
      <w:r>
        <w:rPr>
          <w:rFonts w:hint="eastAsia"/>
          <w:color w:val="auto"/>
          <w:highlight w:val="none"/>
        </w:rPr>
        <w:t>阿克苏职业技术学院2019年初资产合计数为40855.03万元，年末资产合计数为23504.32万元。</w:t>
      </w:r>
      <w:bookmarkEnd w:id="0"/>
      <w:r>
        <w:rPr>
          <w:rFonts w:hint="eastAsia"/>
          <w:color w:val="auto"/>
          <w:highlight w:val="none"/>
        </w:rPr>
        <w:t>2019年度资产减少42.47%。主要变动原因是：2019年行政事业单位开始实行政府会计制度，固定资产需计提补提折旧，具体变动情况见表：</w:t>
      </w:r>
    </w:p>
    <w:tbl>
      <w:tblPr>
        <w:tblStyle w:val="9"/>
        <w:tblW w:w="9423" w:type="dxa"/>
        <w:jc w:val="center"/>
        <w:tblLayout w:type="fixed"/>
        <w:tblCellMar>
          <w:top w:w="0" w:type="dxa"/>
          <w:left w:w="108" w:type="dxa"/>
          <w:bottom w:w="0" w:type="dxa"/>
          <w:right w:w="108" w:type="dxa"/>
        </w:tblCellMar>
      </w:tblPr>
      <w:tblGrid>
        <w:gridCol w:w="1985"/>
        <w:gridCol w:w="1910"/>
        <w:gridCol w:w="2059"/>
        <w:gridCol w:w="2406"/>
        <w:gridCol w:w="1063"/>
      </w:tblGrid>
      <w:tr>
        <w:tblPrEx>
          <w:tblCellMar>
            <w:top w:w="0" w:type="dxa"/>
            <w:left w:w="108" w:type="dxa"/>
            <w:bottom w:w="0" w:type="dxa"/>
            <w:right w:w="108" w:type="dxa"/>
          </w:tblCellMar>
        </w:tblPrEx>
        <w:trPr>
          <w:trHeight w:val="20" w:hRule="atLeast"/>
          <w:jc w:val="center"/>
        </w:trPr>
        <w:tc>
          <w:tcPr>
            <w:tcW w:w="9423" w:type="dxa"/>
            <w:gridSpan w:val="5"/>
            <w:shd w:val="clear" w:color="auto" w:fill="auto"/>
            <w:noWrap/>
            <w:vAlign w:val="center"/>
          </w:tcPr>
          <w:p>
            <w:pPr>
              <w:widowControl/>
              <w:spacing w:line="240" w:lineRule="auto"/>
              <w:ind w:firstLine="0" w:firstLineChars="0"/>
              <w:jc w:val="center"/>
              <w:rPr>
                <w:rFonts w:hAnsi="宋体" w:cs="宋体"/>
                <w:b/>
                <w:bCs/>
                <w:color w:val="auto"/>
                <w:kern w:val="0"/>
                <w:sz w:val="24"/>
                <w:highlight w:val="none"/>
              </w:rPr>
            </w:pPr>
            <w:r>
              <w:rPr>
                <w:rFonts w:hint="eastAsia" w:hAnsi="宋体" w:cs="宋体"/>
                <w:b/>
                <w:bCs/>
                <w:color w:val="auto"/>
                <w:kern w:val="0"/>
                <w:sz w:val="24"/>
                <w:highlight w:val="none"/>
              </w:rPr>
              <w:t>资产变动情况表</w:t>
            </w:r>
          </w:p>
        </w:tc>
      </w:tr>
      <w:tr>
        <w:tblPrEx>
          <w:tblCellMar>
            <w:top w:w="0" w:type="dxa"/>
            <w:left w:w="108" w:type="dxa"/>
            <w:bottom w:w="0" w:type="dxa"/>
            <w:right w:w="108" w:type="dxa"/>
          </w:tblCellMar>
        </w:tblPrEx>
        <w:trPr>
          <w:trHeight w:val="20" w:hRule="atLeast"/>
          <w:jc w:val="center"/>
        </w:trPr>
        <w:tc>
          <w:tcPr>
            <w:tcW w:w="1985" w:type="dxa"/>
            <w:shd w:val="clear" w:color="auto" w:fill="auto"/>
            <w:noWrap/>
            <w:vAlign w:val="bottom"/>
          </w:tcPr>
          <w:p>
            <w:pPr>
              <w:widowControl/>
              <w:spacing w:line="240" w:lineRule="auto"/>
              <w:ind w:firstLine="0" w:firstLineChars="0"/>
              <w:jc w:val="left"/>
              <w:rPr>
                <w:rFonts w:ascii="Times New Roman" w:hAnsi="Times New Roman" w:eastAsia="宋体"/>
                <w:color w:val="auto"/>
                <w:kern w:val="0"/>
                <w:sz w:val="20"/>
                <w:szCs w:val="20"/>
                <w:highlight w:val="none"/>
              </w:rPr>
            </w:pPr>
          </w:p>
        </w:tc>
        <w:tc>
          <w:tcPr>
            <w:tcW w:w="1910" w:type="dxa"/>
            <w:shd w:val="clear" w:color="auto" w:fill="auto"/>
            <w:noWrap/>
            <w:vAlign w:val="bottom"/>
          </w:tcPr>
          <w:p>
            <w:pPr>
              <w:widowControl/>
              <w:spacing w:line="240" w:lineRule="auto"/>
              <w:ind w:firstLine="0" w:firstLineChars="0"/>
              <w:jc w:val="left"/>
              <w:rPr>
                <w:rFonts w:ascii="Times New Roman" w:hAnsi="Times New Roman" w:eastAsia="宋体"/>
                <w:color w:val="auto"/>
                <w:kern w:val="0"/>
                <w:sz w:val="20"/>
                <w:szCs w:val="20"/>
                <w:highlight w:val="none"/>
              </w:rPr>
            </w:pPr>
          </w:p>
        </w:tc>
        <w:tc>
          <w:tcPr>
            <w:tcW w:w="2059" w:type="dxa"/>
            <w:shd w:val="clear" w:color="auto" w:fill="auto"/>
            <w:noWrap/>
            <w:vAlign w:val="bottom"/>
          </w:tcPr>
          <w:p>
            <w:pPr>
              <w:widowControl/>
              <w:spacing w:line="240" w:lineRule="auto"/>
              <w:ind w:firstLine="0" w:firstLineChars="0"/>
              <w:jc w:val="left"/>
              <w:rPr>
                <w:rFonts w:ascii="Times New Roman" w:hAnsi="Times New Roman" w:eastAsia="宋体"/>
                <w:color w:val="auto"/>
                <w:kern w:val="0"/>
                <w:sz w:val="20"/>
                <w:szCs w:val="20"/>
                <w:highlight w:val="none"/>
              </w:rPr>
            </w:pPr>
          </w:p>
        </w:tc>
        <w:tc>
          <w:tcPr>
            <w:tcW w:w="2406" w:type="dxa"/>
            <w:shd w:val="clear" w:color="auto" w:fill="auto"/>
            <w:noWrap/>
            <w:vAlign w:val="center"/>
          </w:tcPr>
          <w:p>
            <w:pPr>
              <w:widowControl/>
              <w:spacing w:line="240" w:lineRule="auto"/>
              <w:ind w:firstLine="0" w:firstLineChars="0"/>
              <w:jc w:val="left"/>
              <w:rPr>
                <w:rFonts w:ascii="Times New Roman" w:hAnsi="Times New Roman" w:eastAsia="宋体"/>
                <w:color w:val="auto"/>
                <w:kern w:val="0"/>
                <w:sz w:val="20"/>
                <w:szCs w:val="20"/>
                <w:highlight w:val="none"/>
              </w:rPr>
            </w:pPr>
          </w:p>
        </w:tc>
        <w:tc>
          <w:tcPr>
            <w:tcW w:w="1063" w:type="dxa"/>
            <w:shd w:val="clear" w:color="auto" w:fill="auto"/>
            <w:vAlign w:val="center"/>
          </w:tcPr>
          <w:p>
            <w:pPr>
              <w:widowControl/>
              <w:spacing w:line="240" w:lineRule="auto"/>
              <w:ind w:firstLine="0" w:firstLineChars="0"/>
              <w:jc w:val="right"/>
              <w:rPr>
                <w:rFonts w:hAnsi="宋体" w:cs="宋体"/>
                <w:b/>
                <w:color w:val="auto"/>
                <w:kern w:val="0"/>
                <w:sz w:val="24"/>
                <w:highlight w:val="none"/>
              </w:rPr>
            </w:pPr>
            <w:r>
              <w:rPr>
                <w:rFonts w:hint="eastAsia" w:hAnsi="宋体" w:cs="宋体"/>
                <w:b/>
                <w:color w:val="auto"/>
                <w:kern w:val="0"/>
                <w:sz w:val="24"/>
                <w:highlight w:val="none"/>
              </w:rPr>
              <w:t>单位：元</w:t>
            </w:r>
          </w:p>
        </w:tc>
      </w:tr>
      <w:tr>
        <w:tblPrEx>
          <w:tblCellMar>
            <w:top w:w="0" w:type="dxa"/>
            <w:left w:w="108" w:type="dxa"/>
            <w:bottom w:w="0" w:type="dxa"/>
            <w:right w:w="108" w:type="dxa"/>
          </w:tblCellMar>
        </w:tblPrEx>
        <w:trPr>
          <w:trHeight w:val="20" w:hRule="atLeast"/>
          <w:jc w:val="center"/>
        </w:trPr>
        <w:tc>
          <w:tcPr>
            <w:tcW w:w="1985" w:type="dxa"/>
            <w:tcBorders>
              <w:top w:val="single" w:color="auto" w:sz="8" w:space="0"/>
              <w:left w:val="single" w:color="auto" w:sz="8" w:space="0"/>
              <w:bottom w:val="single" w:color="auto" w:sz="8" w:space="0"/>
              <w:right w:val="single" w:color="auto" w:sz="8" w:space="0"/>
            </w:tcBorders>
            <w:shd w:val="clear" w:color="auto" w:fill="auto"/>
            <w:noWrap/>
            <w:vAlign w:val="center"/>
          </w:tcPr>
          <w:p>
            <w:pPr>
              <w:widowControl/>
              <w:spacing w:line="240" w:lineRule="auto"/>
              <w:ind w:firstLine="0" w:firstLineChars="0"/>
              <w:jc w:val="center"/>
              <w:rPr>
                <w:rFonts w:hAnsi="宋体" w:cs="宋体"/>
                <w:b/>
                <w:bCs/>
                <w:color w:val="auto"/>
                <w:kern w:val="0"/>
                <w:sz w:val="24"/>
                <w:highlight w:val="none"/>
              </w:rPr>
            </w:pPr>
            <w:r>
              <w:rPr>
                <w:rFonts w:hint="eastAsia" w:hAnsi="宋体" w:cs="宋体"/>
                <w:b/>
                <w:bCs/>
                <w:color w:val="auto"/>
                <w:kern w:val="0"/>
                <w:sz w:val="24"/>
                <w:highlight w:val="none"/>
              </w:rPr>
              <w:t>资产</w:t>
            </w:r>
          </w:p>
        </w:tc>
        <w:tc>
          <w:tcPr>
            <w:tcW w:w="1910" w:type="dxa"/>
            <w:tcBorders>
              <w:top w:val="single" w:color="auto" w:sz="8" w:space="0"/>
              <w:left w:val="nil"/>
              <w:bottom w:val="single" w:color="auto" w:sz="8" w:space="0"/>
              <w:right w:val="single" w:color="auto" w:sz="8" w:space="0"/>
            </w:tcBorders>
            <w:shd w:val="clear" w:color="auto" w:fill="auto"/>
            <w:noWrap/>
            <w:vAlign w:val="center"/>
          </w:tcPr>
          <w:p>
            <w:pPr>
              <w:widowControl/>
              <w:spacing w:line="240" w:lineRule="auto"/>
              <w:ind w:firstLine="0" w:firstLineChars="0"/>
              <w:jc w:val="center"/>
              <w:rPr>
                <w:rFonts w:hAnsi="宋体" w:cs="宋体"/>
                <w:b/>
                <w:bCs/>
                <w:color w:val="auto"/>
                <w:kern w:val="0"/>
                <w:sz w:val="24"/>
                <w:highlight w:val="none"/>
              </w:rPr>
            </w:pPr>
            <w:r>
              <w:rPr>
                <w:rFonts w:hint="eastAsia" w:hAnsi="宋体" w:cs="宋体"/>
                <w:b/>
                <w:bCs/>
                <w:color w:val="auto"/>
                <w:kern w:val="0"/>
                <w:sz w:val="24"/>
                <w:highlight w:val="none"/>
              </w:rPr>
              <w:t>年初数</w:t>
            </w:r>
          </w:p>
        </w:tc>
        <w:tc>
          <w:tcPr>
            <w:tcW w:w="2059" w:type="dxa"/>
            <w:tcBorders>
              <w:top w:val="single" w:color="auto" w:sz="8" w:space="0"/>
              <w:left w:val="nil"/>
              <w:bottom w:val="single" w:color="auto" w:sz="8" w:space="0"/>
              <w:right w:val="single" w:color="auto" w:sz="8" w:space="0"/>
            </w:tcBorders>
            <w:shd w:val="clear" w:color="auto" w:fill="auto"/>
            <w:noWrap/>
            <w:vAlign w:val="center"/>
          </w:tcPr>
          <w:p>
            <w:pPr>
              <w:widowControl/>
              <w:spacing w:line="240" w:lineRule="auto"/>
              <w:ind w:firstLine="0" w:firstLineChars="0"/>
              <w:jc w:val="center"/>
              <w:rPr>
                <w:rFonts w:hAnsi="宋体" w:cs="宋体"/>
                <w:b/>
                <w:bCs/>
                <w:color w:val="auto"/>
                <w:kern w:val="0"/>
                <w:sz w:val="24"/>
                <w:highlight w:val="none"/>
              </w:rPr>
            </w:pPr>
            <w:r>
              <w:rPr>
                <w:rFonts w:hint="eastAsia" w:hAnsi="宋体" w:cs="宋体"/>
                <w:b/>
                <w:bCs/>
                <w:color w:val="auto"/>
                <w:kern w:val="0"/>
                <w:sz w:val="24"/>
                <w:highlight w:val="none"/>
              </w:rPr>
              <w:t>年末数</w:t>
            </w:r>
          </w:p>
        </w:tc>
        <w:tc>
          <w:tcPr>
            <w:tcW w:w="2406" w:type="dxa"/>
            <w:tcBorders>
              <w:top w:val="single" w:color="auto" w:sz="8" w:space="0"/>
              <w:left w:val="nil"/>
              <w:bottom w:val="single" w:color="auto" w:sz="8" w:space="0"/>
              <w:right w:val="single" w:color="auto" w:sz="8" w:space="0"/>
            </w:tcBorders>
            <w:shd w:val="clear" w:color="auto" w:fill="auto"/>
            <w:noWrap/>
            <w:vAlign w:val="center"/>
          </w:tcPr>
          <w:p>
            <w:pPr>
              <w:widowControl/>
              <w:spacing w:line="240" w:lineRule="auto"/>
              <w:ind w:firstLine="0" w:firstLineChars="0"/>
              <w:jc w:val="center"/>
              <w:rPr>
                <w:rFonts w:hAnsi="宋体" w:cs="宋体"/>
                <w:b/>
                <w:bCs/>
                <w:color w:val="auto"/>
                <w:kern w:val="0"/>
                <w:sz w:val="24"/>
                <w:highlight w:val="none"/>
              </w:rPr>
            </w:pPr>
            <w:r>
              <w:rPr>
                <w:rFonts w:hint="eastAsia" w:hAnsi="宋体" w:cs="宋体"/>
                <w:b/>
                <w:bCs/>
                <w:color w:val="auto"/>
                <w:kern w:val="0"/>
                <w:sz w:val="24"/>
                <w:highlight w:val="none"/>
              </w:rPr>
              <w:t>变动情况</w:t>
            </w:r>
          </w:p>
        </w:tc>
        <w:tc>
          <w:tcPr>
            <w:tcW w:w="1063" w:type="dxa"/>
            <w:tcBorders>
              <w:top w:val="single" w:color="auto" w:sz="8" w:space="0"/>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rFonts w:hAnsi="宋体" w:cs="宋体"/>
                <w:b/>
                <w:bCs/>
                <w:color w:val="auto"/>
                <w:kern w:val="0"/>
                <w:sz w:val="24"/>
                <w:highlight w:val="none"/>
              </w:rPr>
            </w:pPr>
            <w:r>
              <w:rPr>
                <w:rFonts w:hint="eastAsia" w:hAnsi="宋体" w:cs="宋体"/>
                <w:b/>
                <w:bCs/>
                <w:color w:val="auto"/>
                <w:kern w:val="0"/>
                <w:sz w:val="24"/>
                <w:highlight w:val="none"/>
              </w:rPr>
              <w:t>变动率</w:t>
            </w:r>
          </w:p>
        </w:tc>
      </w:tr>
      <w:tr>
        <w:tblPrEx>
          <w:tblCellMar>
            <w:top w:w="0" w:type="dxa"/>
            <w:left w:w="108" w:type="dxa"/>
            <w:bottom w:w="0" w:type="dxa"/>
            <w:right w:w="108" w:type="dxa"/>
          </w:tblCellMar>
        </w:tblPrEx>
        <w:trPr>
          <w:trHeight w:val="477" w:hRule="atLeast"/>
          <w:jc w:val="center"/>
        </w:trPr>
        <w:tc>
          <w:tcPr>
            <w:tcW w:w="1985" w:type="dxa"/>
            <w:tcBorders>
              <w:top w:val="nil"/>
              <w:left w:val="single" w:color="auto" w:sz="8" w:space="0"/>
              <w:bottom w:val="single" w:color="auto" w:sz="8" w:space="0"/>
              <w:right w:val="single" w:color="auto" w:sz="8" w:space="0"/>
            </w:tcBorders>
            <w:shd w:val="clear" w:color="auto" w:fill="auto"/>
            <w:noWrap/>
            <w:vAlign w:val="center"/>
          </w:tcPr>
          <w:p>
            <w:pPr>
              <w:widowControl/>
              <w:spacing w:line="240" w:lineRule="auto"/>
              <w:ind w:firstLine="0" w:firstLineChars="0"/>
              <w:jc w:val="left"/>
              <w:rPr>
                <w:rFonts w:hAnsi="宋体" w:cs="宋体"/>
                <w:b/>
                <w:bCs/>
                <w:color w:val="auto"/>
                <w:kern w:val="0"/>
                <w:sz w:val="24"/>
                <w:highlight w:val="none"/>
              </w:rPr>
            </w:pPr>
            <w:r>
              <w:rPr>
                <w:rFonts w:hint="eastAsia" w:hAnsi="宋体" w:cs="宋体"/>
                <w:b/>
                <w:bCs/>
                <w:color w:val="auto"/>
                <w:kern w:val="0"/>
                <w:sz w:val="24"/>
                <w:highlight w:val="none"/>
              </w:rPr>
              <w:t>资产合计</w:t>
            </w:r>
          </w:p>
        </w:tc>
        <w:tc>
          <w:tcPr>
            <w:tcW w:w="1910" w:type="dxa"/>
            <w:tcBorders>
              <w:top w:val="nil"/>
              <w:left w:val="nil"/>
              <w:bottom w:val="single" w:color="auto" w:sz="8" w:space="0"/>
              <w:right w:val="single" w:color="auto" w:sz="8" w:space="0"/>
            </w:tcBorders>
            <w:shd w:val="clear" w:color="auto" w:fill="auto"/>
            <w:noWrap/>
            <w:vAlign w:val="center"/>
          </w:tcPr>
          <w:p>
            <w:pPr>
              <w:widowControl/>
              <w:spacing w:line="240" w:lineRule="auto"/>
              <w:ind w:firstLine="0" w:firstLineChars="0"/>
              <w:jc w:val="center"/>
              <w:rPr>
                <w:rFonts w:hAnsi="宋体" w:cs="宋体"/>
                <w:b/>
                <w:bCs/>
                <w:color w:val="auto"/>
                <w:kern w:val="0"/>
                <w:sz w:val="24"/>
                <w:highlight w:val="none"/>
              </w:rPr>
            </w:pPr>
            <w:r>
              <w:rPr>
                <w:rFonts w:hint="eastAsia" w:hAnsi="宋体" w:cs="宋体"/>
                <w:b/>
                <w:bCs/>
                <w:color w:val="auto"/>
                <w:kern w:val="0"/>
                <w:sz w:val="24"/>
                <w:highlight w:val="none"/>
              </w:rPr>
              <w:t>408550332.31</w:t>
            </w:r>
          </w:p>
        </w:tc>
        <w:tc>
          <w:tcPr>
            <w:tcW w:w="2059" w:type="dxa"/>
            <w:tcBorders>
              <w:top w:val="nil"/>
              <w:left w:val="nil"/>
              <w:bottom w:val="single" w:color="auto" w:sz="8" w:space="0"/>
              <w:right w:val="single" w:color="auto" w:sz="8" w:space="0"/>
            </w:tcBorders>
            <w:shd w:val="clear" w:color="auto" w:fill="auto"/>
            <w:noWrap/>
            <w:vAlign w:val="center"/>
          </w:tcPr>
          <w:p>
            <w:pPr>
              <w:widowControl/>
              <w:spacing w:line="240" w:lineRule="auto"/>
              <w:ind w:firstLine="0" w:firstLineChars="0"/>
              <w:jc w:val="center"/>
              <w:rPr>
                <w:rFonts w:hAnsi="宋体" w:cs="宋体"/>
                <w:b/>
                <w:bCs/>
                <w:color w:val="auto"/>
                <w:kern w:val="0"/>
                <w:sz w:val="24"/>
                <w:highlight w:val="none"/>
              </w:rPr>
            </w:pPr>
            <w:r>
              <w:rPr>
                <w:rFonts w:hint="eastAsia" w:hAnsi="宋体" w:cs="宋体"/>
                <w:b/>
                <w:bCs/>
                <w:color w:val="auto"/>
                <w:kern w:val="0"/>
                <w:sz w:val="24"/>
                <w:highlight w:val="none"/>
              </w:rPr>
              <w:t>235043225.17</w:t>
            </w:r>
          </w:p>
        </w:tc>
        <w:tc>
          <w:tcPr>
            <w:tcW w:w="2406" w:type="dxa"/>
            <w:tcBorders>
              <w:top w:val="nil"/>
              <w:left w:val="nil"/>
              <w:bottom w:val="single" w:color="auto" w:sz="8" w:space="0"/>
              <w:right w:val="single" w:color="auto" w:sz="8" w:space="0"/>
            </w:tcBorders>
            <w:shd w:val="clear" w:color="auto" w:fill="auto"/>
            <w:noWrap/>
            <w:vAlign w:val="center"/>
          </w:tcPr>
          <w:p>
            <w:pPr>
              <w:widowControl/>
              <w:spacing w:line="240" w:lineRule="auto"/>
              <w:ind w:firstLine="0" w:firstLineChars="0"/>
              <w:jc w:val="center"/>
              <w:rPr>
                <w:rFonts w:hAnsi="宋体" w:cs="宋体"/>
                <w:b/>
                <w:bCs/>
                <w:color w:val="auto"/>
                <w:kern w:val="0"/>
                <w:sz w:val="24"/>
                <w:highlight w:val="none"/>
              </w:rPr>
            </w:pPr>
            <w:r>
              <w:rPr>
                <w:rFonts w:hint="eastAsia" w:hAnsi="宋体" w:cs="宋体"/>
                <w:b/>
                <w:bCs/>
                <w:color w:val="auto"/>
                <w:kern w:val="0"/>
                <w:sz w:val="24"/>
                <w:highlight w:val="none"/>
              </w:rPr>
              <w:t>-173507107.14</w:t>
            </w:r>
          </w:p>
        </w:tc>
        <w:tc>
          <w:tcPr>
            <w:tcW w:w="1063"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rFonts w:hAnsi="宋体" w:cs="宋体"/>
                <w:b/>
                <w:bCs/>
                <w:color w:val="auto"/>
                <w:kern w:val="0"/>
                <w:sz w:val="24"/>
                <w:highlight w:val="none"/>
              </w:rPr>
            </w:pPr>
            <w:r>
              <w:rPr>
                <w:rFonts w:hint="eastAsia" w:hAnsi="宋体" w:cs="宋体"/>
                <w:b/>
                <w:bCs/>
                <w:color w:val="auto"/>
                <w:kern w:val="0"/>
                <w:sz w:val="24"/>
                <w:highlight w:val="none"/>
              </w:rPr>
              <w:t>-42.47%</w:t>
            </w:r>
          </w:p>
        </w:tc>
      </w:tr>
      <w:tr>
        <w:tblPrEx>
          <w:tblCellMar>
            <w:top w:w="0" w:type="dxa"/>
            <w:left w:w="108" w:type="dxa"/>
            <w:bottom w:w="0" w:type="dxa"/>
            <w:right w:w="108" w:type="dxa"/>
          </w:tblCellMar>
        </w:tblPrEx>
        <w:trPr>
          <w:trHeight w:val="387" w:hRule="atLeast"/>
          <w:jc w:val="center"/>
        </w:trPr>
        <w:tc>
          <w:tcPr>
            <w:tcW w:w="1985" w:type="dxa"/>
            <w:tcBorders>
              <w:top w:val="nil"/>
              <w:left w:val="single" w:color="auto" w:sz="8" w:space="0"/>
              <w:bottom w:val="single" w:color="auto" w:sz="8" w:space="0"/>
              <w:right w:val="single" w:color="auto" w:sz="8" w:space="0"/>
            </w:tcBorders>
            <w:shd w:val="clear" w:color="auto" w:fill="auto"/>
            <w:noWrap/>
            <w:vAlign w:val="center"/>
          </w:tcPr>
          <w:p>
            <w:pPr>
              <w:widowControl/>
              <w:spacing w:line="240" w:lineRule="auto"/>
              <w:ind w:firstLine="0" w:firstLineChars="0"/>
              <w:jc w:val="left"/>
              <w:rPr>
                <w:rFonts w:hAnsi="宋体" w:cs="宋体"/>
                <w:b/>
                <w:bCs/>
                <w:color w:val="auto"/>
                <w:kern w:val="0"/>
                <w:sz w:val="24"/>
                <w:highlight w:val="none"/>
              </w:rPr>
            </w:pPr>
            <w:r>
              <w:rPr>
                <w:rFonts w:hint="eastAsia" w:hAnsi="宋体" w:cs="宋体"/>
                <w:b/>
                <w:bCs/>
                <w:color w:val="auto"/>
                <w:kern w:val="0"/>
                <w:sz w:val="24"/>
                <w:highlight w:val="none"/>
              </w:rPr>
              <w:t>流动资产</w:t>
            </w:r>
          </w:p>
        </w:tc>
        <w:tc>
          <w:tcPr>
            <w:tcW w:w="1910" w:type="dxa"/>
            <w:tcBorders>
              <w:top w:val="nil"/>
              <w:left w:val="nil"/>
              <w:bottom w:val="single" w:color="auto" w:sz="8" w:space="0"/>
              <w:right w:val="single" w:color="auto" w:sz="8" w:space="0"/>
            </w:tcBorders>
            <w:shd w:val="clear" w:color="auto" w:fill="auto"/>
            <w:noWrap/>
            <w:vAlign w:val="center"/>
          </w:tcPr>
          <w:p>
            <w:pPr>
              <w:widowControl/>
              <w:spacing w:line="240" w:lineRule="auto"/>
              <w:ind w:firstLine="0" w:firstLineChars="0"/>
              <w:jc w:val="center"/>
              <w:rPr>
                <w:rFonts w:hAnsi="宋体" w:cs="宋体"/>
                <w:b/>
                <w:bCs/>
                <w:color w:val="auto"/>
                <w:kern w:val="0"/>
                <w:sz w:val="24"/>
                <w:highlight w:val="none"/>
              </w:rPr>
            </w:pPr>
            <w:r>
              <w:rPr>
                <w:rFonts w:hint="eastAsia" w:hAnsi="宋体" w:cs="宋体"/>
                <w:b/>
                <w:bCs/>
                <w:color w:val="auto"/>
                <w:kern w:val="0"/>
                <w:sz w:val="24"/>
                <w:highlight w:val="none"/>
              </w:rPr>
              <w:t>63496780.03</w:t>
            </w:r>
          </w:p>
        </w:tc>
        <w:tc>
          <w:tcPr>
            <w:tcW w:w="2059" w:type="dxa"/>
            <w:tcBorders>
              <w:top w:val="nil"/>
              <w:left w:val="nil"/>
              <w:bottom w:val="single" w:color="auto" w:sz="8" w:space="0"/>
              <w:right w:val="single" w:color="auto" w:sz="8" w:space="0"/>
            </w:tcBorders>
            <w:shd w:val="clear" w:color="auto" w:fill="auto"/>
            <w:noWrap/>
            <w:vAlign w:val="center"/>
          </w:tcPr>
          <w:p>
            <w:pPr>
              <w:widowControl/>
              <w:spacing w:line="240" w:lineRule="auto"/>
              <w:ind w:firstLine="0" w:firstLineChars="0"/>
              <w:jc w:val="center"/>
              <w:rPr>
                <w:rFonts w:hAnsi="宋体" w:cs="宋体"/>
                <w:b/>
                <w:bCs/>
                <w:color w:val="auto"/>
                <w:kern w:val="0"/>
                <w:sz w:val="24"/>
                <w:highlight w:val="none"/>
              </w:rPr>
            </w:pPr>
            <w:r>
              <w:rPr>
                <w:rFonts w:hint="eastAsia" w:hAnsi="宋体" w:cs="宋体"/>
                <w:b/>
                <w:bCs/>
                <w:color w:val="auto"/>
                <w:kern w:val="0"/>
                <w:sz w:val="24"/>
                <w:highlight w:val="none"/>
              </w:rPr>
              <w:t>43379643.01</w:t>
            </w:r>
          </w:p>
        </w:tc>
        <w:tc>
          <w:tcPr>
            <w:tcW w:w="2406" w:type="dxa"/>
            <w:tcBorders>
              <w:top w:val="nil"/>
              <w:left w:val="nil"/>
              <w:bottom w:val="single" w:color="auto" w:sz="8" w:space="0"/>
              <w:right w:val="single" w:color="auto" w:sz="8" w:space="0"/>
            </w:tcBorders>
            <w:shd w:val="clear" w:color="auto" w:fill="auto"/>
            <w:noWrap/>
            <w:vAlign w:val="center"/>
          </w:tcPr>
          <w:p>
            <w:pPr>
              <w:widowControl/>
              <w:spacing w:line="240" w:lineRule="auto"/>
              <w:ind w:firstLine="0" w:firstLineChars="0"/>
              <w:jc w:val="center"/>
              <w:rPr>
                <w:rFonts w:hAnsi="宋体" w:cs="宋体"/>
                <w:b/>
                <w:bCs/>
                <w:color w:val="auto"/>
                <w:kern w:val="0"/>
                <w:sz w:val="24"/>
                <w:highlight w:val="none"/>
              </w:rPr>
            </w:pPr>
            <w:r>
              <w:rPr>
                <w:rFonts w:hint="eastAsia" w:hAnsi="宋体" w:cs="宋体"/>
                <w:b/>
                <w:bCs/>
                <w:color w:val="auto"/>
                <w:kern w:val="0"/>
                <w:sz w:val="24"/>
                <w:highlight w:val="none"/>
              </w:rPr>
              <w:t>-20117137.02</w:t>
            </w:r>
          </w:p>
        </w:tc>
        <w:tc>
          <w:tcPr>
            <w:tcW w:w="1063"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rFonts w:hAnsi="宋体" w:cs="宋体"/>
                <w:b/>
                <w:bCs/>
                <w:color w:val="auto"/>
                <w:kern w:val="0"/>
                <w:sz w:val="24"/>
                <w:highlight w:val="none"/>
              </w:rPr>
            </w:pPr>
            <w:r>
              <w:rPr>
                <w:rFonts w:hint="eastAsia" w:hAnsi="宋体" w:cs="宋体"/>
                <w:b/>
                <w:bCs/>
                <w:color w:val="auto"/>
                <w:kern w:val="0"/>
                <w:sz w:val="24"/>
                <w:highlight w:val="none"/>
              </w:rPr>
              <w:t>-31.68%</w:t>
            </w:r>
          </w:p>
        </w:tc>
      </w:tr>
      <w:tr>
        <w:tblPrEx>
          <w:tblCellMar>
            <w:top w:w="0" w:type="dxa"/>
            <w:left w:w="108" w:type="dxa"/>
            <w:bottom w:w="0" w:type="dxa"/>
            <w:right w:w="108" w:type="dxa"/>
          </w:tblCellMar>
        </w:tblPrEx>
        <w:trPr>
          <w:trHeight w:val="432" w:hRule="atLeast"/>
          <w:jc w:val="center"/>
        </w:trPr>
        <w:tc>
          <w:tcPr>
            <w:tcW w:w="1985" w:type="dxa"/>
            <w:tcBorders>
              <w:top w:val="nil"/>
              <w:left w:val="single" w:color="auto" w:sz="8" w:space="0"/>
              <w:bottom w:val="single" w:color="auto" w:sz="8" w:space="0"/>
              <w:right w:val="single" w:color="auto" w:sz="8" w:space="0"/>
            </w:tcBorders>
            <w:shd w:val="clear" w:color="auto" w:fill="auto"/>
            <w:noWrap/>
            <w:vAlign w:val="center"/>
          </w:tcPr>
          <w:p>
            <w:pPr>
              <w:widowControl/>
              <w:spacing w:line="240" w:lineRule="auto"/>
              <w:ind w:firstLine="0" w:firstLineChars="0"/>
              <w:jc w:val="left"/>
              <w:rPr>
                <w:rFonts w:hAnsi="宋体" w:cs="宋体"/>
                <w:color w:val="auto"/>
                <w:kern w:val="0"/>
                <w:sz w:val="24"/>
                <w:highlight w:val="none"/>
              </w:rPr>
            </w:pPr>
            <w:r>
              <w:rPr>
                <w:rFonts w:hint="eastAsia" w:hAnsi="宋体" w:cs="宋体"/>
                <w:color w:val="auto"/>
                <w:kern w:val="0"/>
                <w:sz w:val="24"/>
                <w:highlight w:val="none"/>
              </w:rPr>
              <w:t>银行存款</w:t>
            </w:r>
          </w:p>
        </w:tc>
        <w:tc>
          <w:tcPr>
            <w:tcW w:w="1910" w:type="dxa"/>
            <w:tcBorders>
              <w:top w:val="nil"/>
              <w:left w:val="nil"/>
              <w:bottom w:val="single" w:color="auto" w:sz="8" w:space="0"/>
              <w:right w:val="single" w:color="auto" w:sz="8" w:space="0"/>
            </w:tcBorders>
            <w:shd w:val="clear" w:color="auto" w:fill="auto"/>
            <w:noWrap/>
            <w:vAlign w:val="center"/>
          </w:tcPr>
          <w:p>
            <w:pPr>
              <w:widowControl/>
              <w:spacing w:line="240" w:lineRule="auto"/>
              <w:ind w:firstLine="0" w:firstLineChars="0"/>
              <w:jc w:val="center"/>
              <w:rPr>
                <w:rFonts w:hAnsi="宋体" w:cs="宋体"/>
                <w:color w:val="auto"/>
                <w:kern w:val="0"/>
                <w:sz w:val="24"/>
                <w:highlight w:val="none"/>
              </w:rPr>
            </w:pPr>
            <w:r>
              <w:rPr>
                <w:rFonts w:hint="eastAsia" w:hAnsi="宋体" w:cs="宋体"/>
                <w:color w:val="auto"/>
                <w:kern w:val="0"/>
                <w:sz w:val="24"/>
                <w:highlight w:val="none"/>
              </w:rPr>
              <w:t>25556660.88</w:t>
            </w:r>
          </w:p>
        </w:tc>
        <w:tc>
          <w:tcPr>
            <w:tcW w:w="2059" w:type="dxa"/>
            <w:tcBorders>
              <w:top w:val="nil"/>
              <w:left w:val="nil"/>
              <w:bottom w:val="single" w:color="auto" w:sz="8" w:space="0"/>
              <w:right w:val="single" w:color="auto" w:sz="8" w:space="0"/>
            </w:tcBorders>
            <w:shd w:val="clear" w:color="auto" w:fill="auto"/>
            <w:noWrap/>
            <w:vAlign w:val="center"/>
          </w:tcPr>
          <w:p>
            <w:pPr>
              <w:widowControl/>
              <w:spacing w:line="240" w:lineRule="auto"/>
              <w:ind w:firstLine="0" w:firstLineChars="0"/>
              <w:jc w:val="center"/>
              <w:rPr>
                <w:rFonts w:hAnsi="宋体" w:cs="宋体"/>
                <w:color w:val="auto"/>
                <w:kern w:val="0"/>
                <w:sz w:val="24"/>
                <w:highlight w:val="none"/>
              </w:rPr>
            </w:pPr>
            <w:r>
              <w:rPr>
                <w:rFonts w:hint="eastAsia" w:hAnsi="宋体" w:cs="宋体"/>
                <w:color w:val="auto"/>
                <w:kern w:val="0"/>
                <w:sz w:val="24"/>
                <w:highlight w:val="none"/>
              </w:rPr>
              <w:t>22786256.08</w:t>
            </w:r>
          </w:p>
        </w:tc>
        <w:tc>
          <w:tcPr>
            <w:tcW w:w="2406" w:type="dxa"/>
            <w:tcBorders>
              <w:top w:val="nil"/>
              <w:left w:val="nil"/>
              <w:bottom w:val="single" w:color="auto" w:sz="8" w:space="0"/>
              <w:right w:val="single" w:color="auto" w:sz="8" w:space="0"/>
            </w:tcBorders>
            <w:shd w:val="clear" w:color="auto" w:fill="auto"/>
            <w:noWrap/>
            <w:vAlign w:val="center"/>
          </w:tcPr>
          <w:p>
            <w:pPr>
              <w:widowControl/>
              <w:spacing w:line="240" w:lineRule="auto"/>
              <w:ind w:firstLine="0" w:firstLineChars="0"/>
              <w:jc w:val="center"/>
              <w:rPr>
                <w:rFonts w:hAnsi="宋体" w:cs="宋体"/>
                <w:color w:val="auto"/>
                <w:kern w:val="0"/>
                <w:sz w:val="24"/>
                <w:highlight w:val="none"/>
              </w:rPr>
            </w:pPr>
            <w:r>
              <w:rPr>
                <w:rFonts w:hint="eastAsia" w:hAnsi="宋体" w:cs="宋体"/>
                <w:color w:val="auto"/>
                <w:kern w:val="0"/>
                <w:sz w:val="24"/>
                <w:highlight w:val="none"/>
              </w:rPr>
              <w:t>-2770404.8</w:t>
            </w:r>
          </w:p>
        </w:tc>
        <w:tc>
          <w:tcPr>
            <w:tcW w:w="1063"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rFonts w:hAnsi="宋体" w:cs="宋体"/>
                <w:color w:val="auto"/>
                <w:kern w:val="0"/>
                <w:sz w:val="24"/>
                <w:highlight w:val="none"/>
              </w:rPr>
            </w:pPr>
            <w:r>
              <w:rPr>
                <w:rFonts w:hint="eastAsia" w:hAnsi="宋体" w:cs="宋体"/>
                <w:color w:val="auto"/>
                <w:kern w:val="0"/>
                <w:sz w:val="24"/>
                <w:highlight w:val="none"/>
              </w:rPr>
              <w:t>-10.84%</w:t>
            </w:r>
          </w:p>
        </w:tc>
      </w:tr>
      <w:tr>
        <w:tblPrEx>
          <w:tblCellMar>
            <w:top w:w="0" w:type="dxa"/>
            <w:left w:w="108" w:type="dxa"/>
            <w:bottom w:w="0" w:type="dxa"/>
            <w:right w:w="108" w:type="dxa"/>
          </w:tblCellMar>
        </w:tblPrEx>
        <w:trPr>
          <w:trHeight w:val="477" w:hRule="atLeast"/>
          <w:jc w:val="center"/>
        </w:trPr>
        <w:tc>
          <w:tcPr>
            <w:tcW w:w="1985" w:type="dxa"/>
            <w:tcBorders>
              <w:top w:val="nil"/>
              <w:left w:val="single" w:color="auto" w:sz="8" w:space="0"/>
              <w:bottom w:val="single" w:color="auto" w:sz="8" w:space="0"/>
              <w:right w:val="single" w:color="auto" w:sz="8" w:space="0"/>
            </w:tcBorders>
            <w:shd w:val="clear" w:color="auto" w:fill="auto"/>
            <w:noWrap/>
            <w:vAlign w:val="center"/>
          </w:tcPr>
          <w:p>
            <w:pPr>
              <w:widowControl/>
              <w:spacing w:line="240" w:lineRule="auto"/>
              <w:ind w:firstLine="0" w:firstLineChars="0"/>
              <w:jc w:val="left"/>
              <w:rPr>
                <w:rFonts w:hAnsi="宋体" w:cs="宋体"/>
                <w:color w:val="auto"/>
                <w:kern w:val="0"/>
                <w:sz w:val="24"/>
                <w:highlight w:val="none"/>
              </w:rPr>
            </w:pPr>
            <w:r>
              <w:rPr>
                <w:rFonts w:hint="eastAsia" w:hAnsi="宋体" w:cs="宋体"/>
                <w:color w:val="auto"/>
                <w:kern w:val="0"/>
                <w:sz w:val="24"/>
                <w:highlight w:val="none"/>
              </w:rPr>
              <w:t>财政应返还额度</w:t>
            </w:r>
          </w:p>
        </w:tc>
        <w:tc>
          <w:tcPr>
            <w:tcW w:w="1910" w:type="dxa"/>
            <w:tcBorders>
              <w:top w:val="nil"/>
              <w:left w:val="nil"/>
              <w:bottom w:val="single" w:color="auto" w:sz="8" w:space="0"/>
              <w:right w:val="single" w:color="auto" w:sz="8" w:space="0"/>
            </w:tcBorders>
            <w:shd w:val="clear" w:color="auto" w:fill="auto"/>
            <w:noWrap/>
            <w:vAlign w:val="center"/>
          </w:tcPr>
          <w:p>
            <w:pPr>
              <w:widowControl/>
              <w:spacing w:line="240" w:lineRule="auto"/>
              <w:ind w:firstLine="0" w:firstLineChars="0"/>
              <w:jc w:val="center"/>
              <w:rPr>
                <w:rFonts w:hAnsi="宋体" w:cs="宋体"/>
                <w:color w:val="auto"/>
                <w:kern w:val="0"/>
                <w:sz w:val="24"/>
                <w:highlight w:val="none"/>
              </w:rPr>
            </w:pPr>
            <w:r>
              <w:rPr>
                <w:rFonts w:hint="eastAsia" w:hAnsi="宋体" w:cs="宋体"/>
                <w:color w:val="auto"/>
                <w:kern w:val="0"/>
                <w:sz w:val="24"/>
                <w:highlight w:val="none"/>
              </w:rPr>
              <w:t>26405778.49</w:t>
            </w:r>
          </w:p>
        </w:tc>
        <w:tc>
          <w:tcPr>
            <w:tcW w:w="2059" w:type="dxa"/>
            <w:tcBorders>
              <w:top w:val="nil"/>
              <w:left w:val="nil"/>
              <w:bottom w:val="single" w:color="auto" w:sz="8" w:space="0"/>
              <w:right w:val="single" w:color="auto" w:sz="8" w:space="0"/>
            </w:tcBorders>
            <w:shd w:val="clear" w:color="auto" w:fill="auto"/>
            <w:noWrap/>
            <w:vAlign w:val="center"/>
          </w:tcPr>
          <w:p>
            <w:pPr>
              <w:widowControl/>
              <w:spacing w:line="240" w:lineRule="auto"/>
              <w:ind w:firstLine="0" w:firstLineChars="0"/>
              <w:jc w:val="center"/>
              <w:rPr>
                <w:rFonts w:hAnsi="宋体" w:cs="宋体"/>
                <w:color w:val="auto"/>
                <w:kern w:val="0"/>
                <w:sz w:val="24"/>
                <w:highlight w:val="none"/>
              </w:rPr>
            </w:pPr>
            <w:r>
              <w:rPr>
                <w:rFonts w:hint="eastAsia" w:hAnsi="宋体" w:cs="宋体"/>
                <w:color w:val="auto"/>
                <w:kern w:val="0"/>
                <w:sz w:val="24"/>
                <w:highlight w:val="none"/>
              </w:rPr>
              <w:t>14450640.66</w:t>
            </w:r>
          </w:p>
        </w:tc>
        <w:tc>
          <w:tcPr>
            <w:tcW w:w="2406" w:type="dxa"/>
            <w:tcBorders>
              <w:top w:val="nil"/>
              <w:left w:val="nil"/>
              <w:bottom w:val="single" w:color="auto" w:sz="8" w:space="0"/>
              <w:right w:val="single" w:color="auto" w:sz="8" w:space="0"/>
            </w:tcBorders>
            <w:shd w:val="clear" w:color="auto" w:fill="auto"/>
            <w:noWrap/>
            <w:vAlign w:val="center"/>
          </w:tcPr>
          <w:p>
            <w:pPr>
              <w:widowControl/>
              <w:spacing w:line="240" w:lineRule="auto"/>
              <w:ind w:firstLine="0" w:firstLineChars="0"/>
              <w:jc w:val="center"/>
              <w:rPr>
                <w:rFonts w:hAnsi="宋体" w:cs="宋体"/>
                <w:color w:val="auto"/>
                <w:kern w:val="0"/>
                <w:sz w:val="24"/>
                <w:highlight w:val="none"/>
              </w:rPr>
            </w:pPr>
            <w:r>
              <w:rPr>
                <w:rFonts w:hint="eastAsia" w:hAnsi="宋体" w:cs="宋体"/>
                <w:color w:val="auto"/>
                <w:kern w:val="0"/>
                <w:sz w:val="24"/>
                <w:highlight w:val="none"/>
              </w:rPr>
              <w:t>-11955137.83</w:t>
            </w:r>
          </w:p>
        </w:tc>
        <w:tc>
          <w:tcPr>
            <w:tcW w:w="1063"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rFonts w:hAnsi="宋体" w:cs="宋体"/>
                <w:color w:val="auto"/>
                <w:kern w:val="0"/>
                <w:sz w:val="24"/>
                <w:highlight w:val="none"/>
              </w:rPr>
            </w:pPr>
            <w:r>
              <w:rPr>
                <w:rFonts w:hint="eastAsia" w:hAnsi="宋体" w:cs="宋体"/>
                <w:color w:val="auto"/>
                <w:kern w:val="0"/>
                <w:sz w:val="24"/>
                <w:highlight w:val="none"/>
              </w:rPr>
              <w:t>-45.27%</w:t>
            </w:r>
          </w:p>
        </w:tc>
      </w:tr>
      <w:tr>
        <w:tblPrEx>
          <w:tblCellMar>
            <w:top w:w="0" w:type="dxa"/>
            <w:left w:w="108" w:type="dxa"/>
            <w:bottom w:w="0" w:type="dxa"/>
            <w:right w:w="108" w:type="dxa"/>
          </w:tblCellMar>
        </w:tblPrEx>
        <w:trPr>
          <w:trHeight w:val="417" w:hRule="atLeast"/>
          <w:jc w:val="center"/>
        </w:trPr>
        <w:tc>
          <w:tcPr>
            <w:tcW w:w="1985" w:type="dxa"/>
            <w:tcBorders>
              <w:top w:val="nil"/>
              <w:left w:val="single" w:color="auto" w:sz="8" w:space="0"/>
              <w:bottom w:val="single" w:color="auto" w:sz="8" w:space="0"/>
              <w:right w:val="single" w:color="auto" w:sz="8" w:space="0"/>
            </w:tcBorders>
            <w:shd w:val="clear" w:color="auto" w:fill="auto"/>
            <w:noWrap/>
            <w:vAlign w:val="center"/>
          </w:tcPr>
          <w:p>
            <w:pPr>
              <w:widowControl/>
              <w:spacing w:line="240" w:lineRule="auto"/>
              <w:ind w:firstLine="0" w:firstLineChars="0"/>
              <w:jc w:val="left"/>
              <w:rPr>
                <w:rFonts w:hAnsi="宋体" w:cs="宋体"/>
                <w:color w:val="auto"/>
                <w:kern w:val="0"/>
                <w:sz w:val="24"/>
                <w:highlight w:val="none"/>
              </w:rPr>
            </w:pPr>
            <w:r>
              <w:rPr>
                <w:rFonts w:hint="eastAsia" w:hAnsi="宋体" w:cs="宋体"/>
                <w:color w:val="auto"/>
                <w:kern w:val="0"/>
                <w:sz w:val="24"/>
                <w:highlight w:val="none"/>
              </w:rPr>
              <w:t>其他应收款</w:t>
            </w:r>
          </w:p>
        </w:tc>
        <w:tc>
          <w:tcPr>
            <w:tcW w:w="1910" w:type="dxa"/>
            <w:tcBorders>
              <w:top w:val="nil"/>
              <w:left w:val="nil"/>
              <w:bottom w:val="single" w:color="auto" w:sz="8" w:space="0"/>
              <w:right w:val="single" w:color="auto" w:sz="8" w:space="0"/>
            </w:tcBorders>
            <w:shd w:val="clear" w:color="auto" w:fill="auto"/>
            <w:noWrap/>
            <w:vAlign w:val="center"/>
          </w:tcPr>
          <w:p>
            <w:pPr>
              <w:widowControl/>
              <w:spacing w:line="240" w:lineRule="auto"/>
              <w:ind w:firstLine="0" w:firstLineChars="0"/>
              <w:jc w:val="center"/>
              <w:rPr>
                <w:rFonts w:hAnsi="宋体" w:cs="宋体"/>
                <w:color w:val="auto"/>
                <w:kern w:val="0"/>
                <w:sz w:val="24"/>
                <w:highlight w:val="none"/>
              </w:rPr>
            </w:pPr>
            <w:r>
              <w:rPr>
                <w:rFonts w:hint="eastAsia" w:hAnsi="宋体" w:cs="宋体"/>
                <w:color w:val="auto"/>
                <w:kern w:val="0"/>
                <w:sz w:val="24"/>
                <w:highlight w:val="none"/>
              </w:rPr>
              <w:t>3024122.11</w:t>
            </w:r>
          </w:p>
        </w:tc>
        <w:tc>
          <w:tcPr>
            <w:tcW w:w="2059" w:type="dxa"/>
            <w:tcBorders>
              <w:top w:val="nil"/>
              <w:left w:val="nil"/>
              <w:bottom w:val="single" w:color="auto" w:sz="8" w:space="0"/>
              <w:right w:val="single" w:color="auto" w:sz="8" w:space="0"/>
            </w:tcBorders>
            <w:shd w:val="clear" w:color="auto" w:fill="auto"/>
            <w:noWrap/>
            <w:vAlign w:val="center"/>
          </w:tcPr>
          <w:p>
            <w:pPr>
              <w:widowControl/>
              <w:spacing w:line="240" w:lineRule="auto"/>
              <w:ind w:firstLine="0" w:firstLineChars="0"/>
              <w:jc w:val="center"/>
              <w:rPr>
                <w:rFonts w:hAnsi="宋体" w:cs="宋体"/>
                <w:color w:val="auto"/>
                <w:kern w:val="0"/>
                <w:sz w:val="24"/>
                <w:highlight w:val="none"/>
              </w:rPr>
            </w:pPr>
            <w:r>
              <w:rPr>
                <w:rFonts w:hint="eastAsia" w:hAnsi="宋体" w:cs="宋体"/>
                <w:color w:val="auto"/>
                <w:kern w:val="0"/>
                <w:sz w:val="24"/>
                <w:highlight w:val="none"/>
              </w:rPr>
              <w:t>749230.7</w:t>
            </w:r>
          </w:p>
        </w:tc>
        <w:tc>
          <w:tcPr>
            <w:tcW w:w="2406" w:type="dxa"/>
            <w:tcBorders>
              <w:top w:val="nil"/>
              <w:left w:val="nil"/>
              <w:bottom w:val="single" w:color="auto" w:sz="8" w:space="0"/>
              <w:right w:val="single" w:color="auto" w:sz="8" w:space="0"/>
            </w:tcBorders>
            <w:shd w:val="clear" w:color="auto" w:fill="auto"/>
            <w:noWrap/>
            <w:vAlign w:val="center"/>
          </w:tcPr>
          <w:p>
            <w:pPr>
              <w:widowControl/>
              <w:spacing w:line="240" w:lineRule="auto"/>
              <w:ind w:firstLine="0" w:firstLineChars="0"/>
              <w:jc w:val="center"/>
              <w:rPr>
                <w:rFonts w:hAnsi="宋体" w:cs="宋体"/>
                <w:color w:val="auto"/>
                <w:kern w:val="0"/>
                <w:sz w:val="24"/>
                <w:highlight w:val="none"/>
              </w:rPr>
            </w:pPr>
            <w:r>
              <w:rPr>
                <w:rFonts w:hint="eastAsia" w:hAnsi="宋体" w:cs="宋体"/>
                <w:color w:val="auto"/>
                <w:kern w:val="0"/>
                <w:sz w:val="24"/>
                <w:highlight w:val="none"/>
              </w:rPr>
              <w:t>-2274891.41</w:t>
            </w:r>
          </w:p>
        </w:tc>
        <w:tc>
          <w:tcPr>
            <w:tcW w:w="1063"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rFonts w:hAnsi="宋体" w:cs="宋体"/>
                <w:color w:val="auto"/>
                <w:kern w:val="0"/>
                <w:sz w:val="24"/>
                <w:highlight w:val="none"/>
              </w:rPr>
            </w:pPr>
            <w:r>
              <w:rPr>
                <w:rFonts w:hint="eastAsia" w:hAnsi="宋体" w:cs="宋体"/>
                <w:color w:val="auto"/>
                <w:kern w:val="0"/>
                <w:sz w:val="24"/>
                <w:highlight w:val="none"/>
              </w:rPr>
              <w:t>-75.22%</w:t>
            </w:r>
          </w:p>
        </w:tc>
      </w:tr>
      <w:tr>
        <w:tblPrEx>
          <w:tblCellMar>
            <w:top w:w="0" w:type="dxa"/>
            <w:left w:w="108" w:type="dxa"/>
            <w:bottom w:w="0" w:type="dxa"/>
            <w:right w:w="108" w:type="dxa"/>
          </w:tblCellMar>
        </w:tblPrEx>
        <w:trPr>
          <w:trHeight w:val="297" w:hRule="atLeast"/>
          <w:jc w:val="center"/>
        </w:trPr>
        <w:tc>
          <w:tcPr>
            <w:tcW w:w="1985" w:type="dxa"/>
            <w:tcBorders>
              <w:top w:val="nil"/>
              <w:left w:val="single" w:color="auto" w:sz="8" w:space="0"/>
              <w:bottom w:val="single" w:color="auto" w:sz="8" w:space="0"/>
              <w:right w:val="single" w:color="auto" w:sz="8" w:space="0"/>
            </w:tcBorders>
            <w:shd w:val="clear" w:color="auto" w:fill="auto"/>
            <w:noWrap/>
            <w:vAlign w:val="center"/>
          </w:tcPr>
          <w:p>
            <w:pPr>
              <w:widowControl/>
              <w:spacing w:line="240" w:lineRule="auto"/>
              <w:ind w:firstLine="0" w:firstLineChars="0"/>
              <w:jc w:val="left"/>
              <w:rPr>
                <w:rFonts w:hAnsi="宋体" w:cs="宋体"/>
                <w:color w:val="auto"/>
                <w:kern w:val="0"/>
                <w:sz w:val="24"/>
                <w:highlight w:val="none"/>
              </w:rPr>
            </w:pPr>
            <w:r>
              <w:rPr>
                <w:rFonts w:hint="eastAsia" w:hAnsi="宋体" w:cs="宋体"/>
                <w:color w:val="auto"/>
                <w:kern w:val="0"/>
                <w:sz w:val="24"/>
                <w:highlight w:val="none"/>
              </w:rPr>
              <w:t>存货</w:t>
            </w:r>
          </w:p>
        </w:tc>
        <w:tc>
          <w:tcPr>
            <w:tcW w:w="1910" w:type="dxa"/>
            <w:tcBorders>
              <w:top w:val="nil"/>
              <w:left w:val="nil"/>
              <w:bottom w:val="single" w:color="auto" w:sz="8" w:space="0"/>
              <w:right w:val="single" w:color="auto" w:sz="8" w:space="0"/>
            </w:tcBorders>
            <w:shd w:val="clear" w:color="auto" w:fill="auto"/>
            <w:noWrap/>
            <w:vAlign w:val="center"/>
          </w:tcPr>
          <w:p>
            <w:pPr>
              <w:widowControl/>
              <w:spacing w:line="240" w:lineRule="auto"/>
              <w:ind w:firstLine="0" w:firstLineChars="0"/>
              <w:jc w:val="center"/>
              <w:rPr>
                <w:rFonts w:hAnsi="宋体" w:cs="宋体"/>
                <w:color w:val="auto"/>
                <w:kern w:val="0"/>
                <w:sz w:val="24"/>
                <w:highlight w:val="none"/>
              </w:rPr>
            </w:pPr>
          </w:p>
        </w:tc>
        <w:tc>
          <w:tcPr>
            <w:tcW w:w="2059" w:type="dxa"/>
            <w:tcBorders>
              <w:top w:val="nil"/>
              <w:left w:val="nil"/>
              <w:bottom w:val="single" w:color="auto" w:sz="8" w:space="0"/>
              <w:right w:val="single" w:color="auto" w:sz="8" w:space="0"/>
            </w:tcBorders>
            <w:shd w:val="clear" w:color="auto" w:fill="auto"/>
            <w:noWrap/>
            <w:vAlign w:val="center"/>
          </w:tcPr>
          <w:p>
            <w:pPr>
              <w:widowControl/>
              <w:spacing w:line="240" w:lineRule="auto"/>
              <w:ind w:firstLine="0" w:firstLineChars="0"/>
              <w:jc w:val="center"/>
              <w:rPr>
                <w:rFonts w:hAnsi="宋体" w:cs="宋体"/>
                <w:color w:val="auto"/>
                <w:kern w:val="0"/>
                <w:sz w:val="24"/>
                <w:highlight w:val="none"/>
              </w:rPr>
            </w:pPr>
          </w:p>
        </w:tc>
        <w:tc>
          <w:tcPr>
            <w:tcW w:w="2406" w:type="dxa"/>
            <w:tcBorders>
              <w:top w:val="nil"/>
              <w:left w:val="nil"/>
              <w:bottom w:val="single" w:color="auto" w:sz="8" w:space="0"/>
              <w:right w:val="single" w:color="auto" w:sz="8" w:space="0"/>
            </w:tcBorders>
            <w:shd w:val="clear" w:color="auto" w:fill="auto"/>
            <w:noWrap/>
            <w:vAlign w:val="center"/>
          </w:tcPr>
          <w:p>
            <w:pPr>
              <w:widowControl/>
              <w:spacing w:line="240" w:lineRule="auto"/>
              <w:ind w:firstLine="0" w:firstLineChars="0"/>
              <w:jc w:val="center"/>
              <w:rPr>
                <w:rFonts w:hAnsi="宋体" w:cs="宋体"/>
                <w:color w:val="auto"/>
                <w:kern w:val="0"/>
                <w:sz w:val="24"/>
                <w:highlight w:val="none"/>
              </w:rPr>
            </w:pPr>
          </w:p>
        </w:tc>
        <w:tc>
          <w:tcPr>
            <w:tcW w:w="1063"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rFonts w:hAnsi="宋体" w:cs="宋体"/>
                <w:color w:val="auto"/>
                <w:kern w:val="0"/>
                <w:sz w:val="24"/>
                <w:highlight w:val="none"/>
              </w:rPr>
            </w:pPr>
          </w:p>
        </w:tc>
      </w:tr>
      <w:tr>
        <w:tblPrEx>
          <w:tblCellMar>
            <w:top w:w="0" w:type="dxa"/>
            <w:left w:w="108" w:type="dxa"/>
            <w:bottom w:w="0" w:type="dxa"/>
            <w:right w:w="108" w:type="dxa"/>
          </w:tblCellMar>
        </w:tblPrEx>
        <w:trPr>
          <w:trHeight w:val="432" w:hRule="atLeast"/>
          <w:jc w:val="center"/>
        </w:trPr>
        <w:tc>
          <w:tcPr>
            <w:tcW w:w="1985" w:type="dxa"/>
            <w:tcBorders>
              <w:top w:val="nil"/>
              <w:left w:val="single" w:color="auto" w:sz="8" w:space="0"/>
              <w:bottom w:val="single" w:color="auto" w:sz="8" w:space="0"/>
              <w:right w:val="single" w:color="auto" w:sz="8" w:space="0"/>
            </w:tcBorders>
            <w:shd w:val="clear" w:color="auto" w:fill="auto"/>
            <w:noWrap/>
            <w:vAlign w:val="center"/>
          </w:tcPr>
          <w:p>
            <w:pPr>
              <w:widowControl/>
              <w:spacing w:line="240" w:lineRule="auto"/>
              <w:ind w:firstLine="0" w:firstLineChars="0"/>
              <w:jc w:val="left"/>
              <w:rPr>
                <w:rFonts w:hAnsi="宋体" w:cs="宋体"/>
                <w:b/>
                <w:bCs/>
                <w:color w:val="auto"/>
                <w:kern w:val="0"/>
                <w:sz w:val="24"/>
                <w:highlight w:val="none"/>
              </w:rPr>
            </w:pPr>
            <w:r>
              <w:rPr>
                <w:rFonts w:hint="eastAsia" w:hAnsi="宋体" w:cs="宋体"/>
                <w:b/>
                <w:bCs/>
                <w:color w:val="auto"/>
                <w:kern w:val="0"/>
                <w:sz w:val="24"/>
                <w:highlight w:val="none"/>
              </w:rPr>
              <w:t>固定资产</w:t>
            </w:r>
          </w:p>
        </w:tc>
        <w:tc>
          <w:tcPr>
            <w:tcW w:w="1910" w:type="dxa"/>
            <w:tcBorders>
              <w:top w:val="nil"/>
              <w:left w:val="nil"/>
              <w:bottom w:val="single" w:color="auto" w:sz="8" w:space="0"/>
              <w:right w:val="single" w:color="auto" w:sz="8" w:space="0"/>
            </w:tcBorders>
            <w:shd w:val="clear" w:color="auto" w:fill="auto"/>
            <w:noWrap/>
            <w:vAlign w:val="center"/>
          </w:tcPr>
          <w:p>
            <w:pPr>
              <w:widowControl/>
              <w:spacing w:line="240" w:lineRule="auto"/>
              <w:ind w:firstLine="0" w:firstLineChars="0"/>
              <w:jc w:val="center"/>
              <w:rPr>
                <w:rFonts w:hAnsi="宋体" w:cs="宋体"/>
                <w:b/>
                <w:bCs/>
                <w:color w:val="auto"/>
                <w:kern w:val="0"/>
                <w:sz w:val="24"/>
                <w:highlight w:val="none"/>
              </w:rPr>
            </w:pPr>
            <w:r>
              <w:rPr>
                <w:rFonts w:hint="eastAsia" w:hAnsi="宋体" w:cs="宋体"/>
                <w:b/>
                <w:bCs/>
                <w:color w:val="auto"/>
                <w:kern w:val="0"/>
                <w:sz w:val="24"/>
                <w:highlight w:val="none"/>
              </w:rPr>
              <w:t>344561358.98</w:t>
            </w:r>
          </w:p>
        </w:tc>
        <w:tc>
          <w:tcPr>
            <w:tcW w:w="2059" w:type="dxa"/>
            <w:tcBorders>
              <w:top w:val="nil"/>
              <w:left w:val="nil"/>
              <w:bottom w:val="single" w:color="auto" w:sz="8" w:space="0"/>
              <w:right w:val="single" w:color="auto" w:sz="8" w:space="0"/>
            </w:tcBorders>
            <w:shd w:val="clear" w:color="auto" w:fill="auto"/>
            <w:noWrap/>
            <w:vAlign w:val="center"/>
          </w:tcPr>
          <w:p>
            <w:pPr>
              <w:widowControl/>
              <w:spacing w:line="240" w:lineRule="auto"/>
              <w:ind w:firstLine="0" w:firstLineChars="0"/>
              <w:jc w:val="center"/>
              <w:rPr>
                <w:rFonts w:hAnsi="宋体" w:cs="宋体"/>
                <w:b/>
                <w:bCs/>
                <w:color w:val="auto"/>
                <w:kern w:val="0"/>
                <w:sz w:val="24"/>
                <w:highlight w:val="none"/>
              </w:rPr>
            </w:pPr>
            <w:r>
              <w:rPr>
                <w:rFonts w:hint="eastAsia" w:hAnsi="宋体" w:cs="宋体"/>
                <w:b/>
                <w:bCs/>
                <w:color w:val="auto"/>
                <w:kern w:val="0"/>
                <w:sz w:val="24"/>
                <w:highlight w:val="none"/>
              </w:rPr>
              <w:t>191171388.86</w:t>
            </w:r>
          </w:p>
        </w:tc>
        <w:tc>
          <w:tcPr>
            <w:tcW w:w="2406" w:type="dxa"/>
            <w:tcBorders>
              <w:top w:val="nil"/>
              <w:left w:val="nil"/>
              <w:bottom w:val="single" w:color="auto" w:sz="8" w:space="0"/>
              <w:right w:val="single" w:color="auto" w:sz="8" w:space="0"/>
            </w:tcBorders>
            <w:shd w:val="clear" w:color="auto" w:fill="auto"/>
            <w:noWrap/>
            <w:vAlign w:val="center"/>
          </w:tcPr>
          <w:p>
            <w:pPr>
              <w:widowControl/>
              <w:spacing w:line="240" w:lineRule="auto"/>
              <w:ind w:firstLine="0" w:firstLineChars="0"/>
              <w:jc w:val="center"/>
              <w:rPr>
                <w:rFonts w:hAnsi="宋体" w:cs="宋体"/>
                <w:b/>
                <w:bCs/>
                <w:color w:val="auto"/>
                <w:kern w:val="0"/>
                <w:sz w:val="24"/>
                <w:highlight w:val="none"/>
              </w:rPr>
            </w:pPr>
            <w:r>
              <w:rPr>
                <w:rFonts w:hint="eastAsia" w:hAnsi="宋体" w:cs="宋体"/>
                <w:b/>
                <w:bCs/>
                <w:color w:val="auto"/>
                <w:kern w:val="0"/>
                <w:sz w:val="24"/>
                <w:highlight w:val="none"/>
              </w:rPr>
              <w:t>-153389970.12</w:t>
            </w:r>
          </w:p>
        </w:tc>
        <w:tc>
          <w:tcPr>
            <w:tcW w:w="1063"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rFonts w:hAnsi="宋体" w:cs="宋体"/>
                <w:b/>
                <w:bCs/>
                <w:color w:val="auto"/>
                <w:kern w:val="0"/>
                <w:sz w:val="24"/>
                <w:highlight w:val="none"/>
              </w:rPr>
            </w:pPr>
            <w:r>
              <w:rPr>
                <w:rFonts w:hint="eastAsia" w:hAnsi="宋体" w:cs="宋体"/>
                <w:b/>
                <w:bCs/>
                <w:color w:val="auto"/>
                <w:kern w:val="0"/>
                <w:sz w:val="24"/>
                <w:highlight w:val="none"/>
              </w:rPr>
              <w:t>-44.52%</w:t>
            </w:r>
          </w:p>
        </w:tc>
      </w:tr>
      <w:tr>
        <w:tblPrEx>
          <w:tblCellMar>
            <w:top w:w="0" w:type="dxa"/>
            <w:left w:w="108" w:type="dxa"/>
            <w:bottom w:w="0" w:type="dxa"/>
            <w:right w:w="108" w:type="dxa"/>
          </w:tblCellMar>
        </w:tblPrEx>
        <w:trPr>
          <w:trHeight w:val="387" w:hRule="atLeast"/>
          <w:jc w:val="center"/>
        </w:trPr>
        <w:tc>
          <w:tcPr>
            <w:tcW w:w="1985" w:type="dxa"/>
            <w:tcBorders>
              <w:top w:val="nil"/>
              <w:left w:val="single" w:color="auto" w:sz="8" w:space="0"/>
              <w:bottom w:val="single" w:color="auto" w:sz="8" w:space="0"/>
              <w:right w:val="single" w:color="auto" w:sz="8" w:space="0"/>
            </w:tcBorders>
            <w:shd w:val="clear" w:color="auto" w:fill="auto"/>
            <w:noWrap/>
            <w:vAlign w:val="center"/>
          </w:tcPr>
          <w:p>
            <w:pPr>
              <w:widowControl/>
              <w:spacing w:line="240" w:lineRule="auto"/>
              <w:ind w:firstLine="0" w:firstLineChars="0"/>
              <w:jc w:val="left"/>
              <w:rPr>
                <w:rFonts w:hAnsi="宋体" w:cs="宋体"/>
                <w:color w:val="auto"/>
                <w:kern w:val="0"/>
                <w:sz w:val="24"/>
                <w:highlight w:val="none"/>
              </w:rPr>
            </w:pPr>
            <w:r>
              <w:rPr>
                <w:rFonts w:hint="eastAsia" w:hAnsi="宋体" w:cs="宋体"/>
                <w:color w:val="auto"/>
                <w:kern w:val="0"/>
                <w:sz w:val="24"/>
                <w:highlight w:val="none"/>
              </w:rPr>
              <w:t>房屋</w:t>
            </w:r>
          </w:p>
        </w:tc>
        <w:tc>
          <w:tcPr>
            <w:tcW w:w="1910" w:type="dxa"/>
            <w:tcBorders>
              <w:top w:val="nil"/>
              <w:left w:val="nil"/>
              <w:bottom w:val="single" w:color="auto" w:sz="8" w:space="0"/>
              <w:right w:val="single" w:color="auto" w:sz="8" w:space="0"/>
            </w:tcBorders>
            <w:shd w:val="clear" w:color="auto" w:fill="auto"/>
            <w:noWrap/>
            <w:vAlign w:val="center"/>
          </w:tcPr>
          <w:p>
            <w:pPr>
              <w:widowControl/>
              <w:spacing w:line="240" w:lineRule="auto"/>
              <w:ind w:firstLine="0" w:firstLineChars="0"/>
              <w:jc w:val="center"/>
              <w:rPr>
                <w:rFonts w:hAnsi="宋体" w:cs="宋体"/>
                <w:color w:val="auto"/>
                <w:kern w:val="0"/>
                <w:sz w:val="24"/>
                <w:highlight w:val="none"/>
              </w:rPr>
            </w:pPr>
            <w:r>
              <w:rPr>
                <w:rFonts w:hint="eastAsia" w:hAnsi="宋体" w:cs="宋体"/>
                <w:color w:val="auto"/>
                <w:kern w:val="0"/>
                <w:sz w:val="24"/>
                <w:highlight w:val="none"/>
              </w:rPr>
              <w:t>215540451.38</w:t>
            </w:r>
          </w:p>
        </w:tc>
        <w:tc>
          <w:tcPr>
            <w:tcW w:w="2059" w:type="dxa"/>
            <w:tcBorders>
              <w:top w:val="nil"/>
              <w:left w:val="nil"/>
              <w:bottom w:val="single" w:color="auto" w:sz="8" w:space="0"/>
              <w:right w:val="single" w:color="auto" w:sz="8" w:space="0"/>
            </w:tcBorders>
            <w:shd w:val="clear" w:color="auto" w:fill="auto"/>
            <w:noWrap/>
            <w:vAlign w:val="center"/>
          </w:tcPr>
          <w:p>
            <w:pPr>
              <w:widowControl/>
              <w:spacing w:line="240" w:lineRule="auto"/>
              <w:ind w:firstLine="0" w:firstLineChars="0"/>
              <w:jc w:val="center"/>
              <w:rPr>
                <w:rFonts w:hAnsi="宋体" w:cs="宋体"/>
                <w:color w:val="auto"/>
                <w:kern w:val="0"/>
                <w:sz w:val="24"/>
                <w:highlight w:val="none"/>
              </w:rPr>
            </w:pPr>
            <w:r>
              <w:rPr>
                <w:rFonts w:hint="eastAsia" w:hAnsi="宋体" w:cs="宋体"/>
                <w:color w:val="auto"/>
                <w:kern w:val="0"/>
                <w:sz w:val="24"/>
                <w:highlight w:val="none"/>
              </w:rPr>
              <w:t>109155168.12</w:t>
            </w:r>
          </w:p>
        </w:tc>
        <w:tc>
          <w:tcPr>
            <w:tcW w:w="2406" w:type="dxa"/>
            <w:tcBorders>
              <w:top w:val="nil"/>
              <w:left w:val="nil"/>
              <w:bottom w:val="single" w:color="auto" w:sz="8" w:space="0"/>
              <w:right w:val="single" w:color="auto" w:sz="8" w:space="0"/>
            </w:tcBorders>
            <w:shd w:val="clear" w:color="auto" w:fill="auto"/>
            <w:noWrap/>
            <w:vAlign w:val="center"/>
          </w:tcPr>
          <w:p>
            <w:pPr>
              <w:widowControl/>
              <w:spacing w:line="240" w:lineRule="auto"/>
              <w:ind w:firstLine="0" w:firstLineChars="0"/>
              <w:jc w:val="center"/>
              <w:rPr>
                <w:rFonts w:hAnsi="宋体" w:cs="宋体"/>
                <w:color w:val="auto"/>
                <w:kern w:val="0"/>
                <w:sz w:val="24"/>
                <w:highlight w:val="none"/>
              </w:rPr>
            </w:pPr>
            <w:r>
              <w:rPr>
                <w:rFonts w:hint="eastAsia" w:hAnsi="宋体" w:cs="宋体"/>
                <w:color w:val="auto"/>
                <w:kern w:val="0"/>
                <w:sz w:val="24"/>
                <w:highlight w:val="none"/>
              </w:rPr>
              <w:t>-106385283.26</w:t>
            </w:r>
          </w:p>
        </w:tc>
        <w:tc>
          <w:tcPr>
            <w:tcW w:w="1063"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rFonts w:hAnsi="宋体" w:cs="宋体"/>
                <w:color w:val="auto"/>
                <w:kern w:val="0"/>
                <w:sz w:val="24"/>
                <w:highlight w:val="none"/>
              </w:rPr>
            </w:pPr>
            <w:r>
              <w:rPr>
                <w:rFonts w:hint="eastAsia" w:hAnsi="宋体" w:cs="宋体"/>
                <w:color w:val="auto"/>
                <w:kern w:val="0"/>
                <w:sz w:val="24"/>
                <w:highlight w:val="none"/>
              </w:rPr>
              <w:t>-49.36%</w:t>
            </w:r>
          </w:p>
        </w:tc>
      </w:tr>
      <w:tr>
        <w:tblPrEx>
          <w:tblCellMar>
            <w:top w:w="0" w:type="dxa"/>
            <w:left w:w="108" w:type="dxa"/>
            <w:bottom w:w="0" w:type="dxa"/>
            <w:right w:w="108" w:type="dxa"/>
          </w:tblCellMar>
        </w:tblPrEx>
        <w:trPr>
          <w:trHeight w:val="705" w:hRule="atLeast"/>
          <w:jc w:val="center"/>
        </w:trPr>
        <w:tc>
          <w:tcPr>
            <w:tcW w:w="1985" w:type="dxa"/>
            <w:tcBorders>
              <w:top w:val="nil"/>
              <w:left w:val="single" w:color="auto" w:sz="8" w:space="0"/>
              <w:bottom w:val="single" w:color="auto" w:sz="8" w:space="0"/>
              <w:right w:val="single" w:color="auto" w:sz="8" w:space="0"/>
            </w:tcBorders>
            <w:shd w:val="clear" w:color="auto" w:fill="auto"/>
            <w:noWrap/>
            <w:vAlign w:val="center"/>
          </w:tcPr>
          <w:p>
            <w:pPr>
              <w:widowControl/>
              <w:spacing w:line="240" w:lineRule="auto"/>
              <w:ind w:firstLine="0" w:firstLineChars="0"/>
              <w:jc w:val="left"/>
              <w:rPr>
                <w:rFonts w:hAnsi="宋体" w:cs="宋体"/>
                <w:color w:val="auto"/>
                <w:kern w:val="0"/>
                <w:sz w:val="24"/>
                <w:highlight w:val="none"/>
              </w:rPr>
            </w:pPr>
            <w:r>
              <w:rPr>
                <w:rFonts w:hint="eastAsia" w:hAnsi="宋体" w:cs="宋体"/>
                <w:color w:val="auto"/>
                <w:kern w:val="0"/>
                <w:sz w:val="24"/>
                <w:highlight w:val="none"/>
              </w:rPr>
              <w:t>车辆</w:t>
            </w:r>
          </w:p>
        </w:tc>
        <w:tc>
          <w:tcPr>
            <w:tcW w:w="1910" w:type="dxa"/>
            <w:tcBorders>
              <w:top w:val="nil"/>
              <w:left w:val="nil"/>
              <w:bottom w:val="single" w:color="auto" w:sz="8" w:space="0"/>
              <w:right w:val="single" w:color="auto" w:sz="8" w:space="0"/>
            </w:tcBorders>
            <w:shd w:val="clear" w:color="auto" w:fill="auto"/>
            <w:noWrap/>
            <w:vAlign w:val="center"/>
          </w:tcPr>
          <w:p>
            <w:pPr>
              <w:widowControl/>
              <w:spacing w:line="240" w:lineRule="auto"/>
              <w:ind w:firstLine="0" w:firstLineChars="0"/>
              <w:jc w:val="center"/>
              <w:rPr>
                <w:rFonts w:hAnsi="宋体" w:cs="宋体"/>
                <w:color w:val="auto"/>
                <w:kern w:val="0"/>
                <w:sz w:val="24"/>
                <w:highlight w:val="none"/>
              </w:rPr>
            </w:pPr>
            <w:r>
              <w:rPr>
                <w:rFonts w:hint="eastAsia" w:hAnsi="宋体" w:cs="宋体"/>
                <w:color w:val="auto"/>
                <w:kern w:val="0"/>
                <w:sz w:val="24"/>
                <w:highlight w:val="none"/>
              </w:rPr>
              <w:t>2218485</w:t>
            </w:r>
          </w:p>
        </w:tc>
        <w:tc>
          <w:tcPr>
            <w:tcW w:w="2059" w:type="dxa"/>
            <w:tcBorders>
              <w:top w:val="nil"/>
              <w:left w:val="nil"/>
              <w:bottom w:val="single" w:color="auto" w:sz="8" w:space="0"/>
              <w:right w:val="single" w:color="auto" w:sz="8" w:space="0"/>
            </w:tcBorders>
            <w:shd w:val="clear" w:color="auto" w:fill="auto"/>
            <w:noWrap/>
            <w:vAlign w:val="center"/>
          </w:tcPr>
          <w:p>
            <w:pPr>
              <w:widowControl/>
              <w:spacing w:line="240" w:lineRule="auto"/>
              <w:ind w:firstLine="0" w:firstLineChars="0"/>
              <w:jc w:val="center"/>
              <w:rPr>
                <w:rFonts w:hAnsi="宋体" w:cs="宋体"/>
                <w:color w:val="auto"/>
                <w:kern w:val="0"/>
                <w:sz w:val="24"/>
                <w:highlight w:val="none"/>
              </w:rPr>
            </w:pPr>
            <w:r>
              <w:rPr>
                <w:rFonts w:hint="eastAsia" w:hAnsi="宋体" w:cs="宋体"/>
                <w:color w:val="auto"/>
                <w:kern w:val="0"/>
                <w:sz w:val="24"/>
                <w:highlight w:val="none"/>
              </w:rPr>
              <w:t>917719.31</w:t>
            </w:r>
          </w:p>
        </w:tc>
        <w:tc>
          <w:tcPr>
            <w:tcW w:w="2406" w:type="dxa"/>
            <w:tcBorders>
              <w:top w:val="nil"/>
              <w:left w:val="nil"/>
              <w:bottom w:val="single" w:color="auto" w:sz="8" w:space="0"/>
              <w:right w:val="single" w:color="auto" w:sz="8" w:space="0"/>
            </w:tcBorders>
            <w:shd w:val="clear" w:color="auto" w:fill="auto"/>
            <w:noWrap/>
            <w:vAlign w:val="center"/>
          </w:tcPr>
          <w:p>
            <w:pPr>
              <w:ind w:firstLine="0" w:firstLineChars="0"/>
              <w:jc w:val="center"/>
              <w:rPr>
                <w:color w:val="auto"/>
                <w:sz w:val="24"/>
                <w:highlight w:val="none"/>
              </w:rPr>
            </w:pPr>
            <w:r>
              <w:rPr>
                <w:rFonts w:hint="eastAsia"/>
                <w:color w:val="auto"/>
                <w:sz w:val="24"/>
                <w:highlight w:val="none"/>
              </w:rPr>
              <w:t>-1300765.69</w:t>
            </w:r>
          </w:p>
        </w:tc>
        <w:tc>
          <w:tcPr>
            <w:tcW w:w="1063" w:type="dxa"/>
            <w:tcBorders>
              <w:top w:val="nil"/>
              <w:left w:val="nil"/>
              <w:bottom w:val="single" w:color="auto" w:sz="8" w:space="0"/>
              <w:right w:val="single" w:color="auto" w:sz="8" w:space="0"/>
            </w:tcBorders>
            <w:shd w:val="clear" w:color="auto" w:fill="auto"/>
            <w:vAlign w:val="center"/>
          </w:tcPr>
          <w:p>
            <w:pPr>
              <w:widowControl/>
              <w:spacing w:line="240" w:lineRule="auto"/>
              <w:ind w:firstLine="0" w:firstLineChars="0"/>
              <w:jc w:val="center"/>
              <w:rPr>
                <w:rFonts w:hAnsi="宋体" w:cs="宋体"/>
                <w:color w:val="auto"/>
                <w:kern w:val="0"/>
                <w:sz w:val="24"/>
                <w:highlight w:val="none"/>
              </w:rPr>
            </w:pPr>
            <w:r>
              <w:rPr>
                <w:rFonts w:hint="eastAsia" w:hAnsi="宋体" w:cs="宋体"/>
                <w:color w:val="auto"/>
                <w:kern w:val="0"/>
                <w:sz w:val="24"/>
                <w:highlight w:val="none"/>
              </w:rPr>
              <w:t>-58.63%</w:t>
            </w:r>
          </w:p>
        </w:tc>
      </w:tr>
    </w:tbl>
    <w:p>
      <w:pPr>
        <w:pStyle w:val="3"/>
        <w:ind w:firstLine="562"/>
        <w:rPr>
          <w:color w:val="auto"/>
          <w:highlight w:val="none"/>
        </w:rPr>
      </w:pPr>
      <w:r>
        <w:rPr>
          <w:rFonts w:hint="eastAsia"/>
          <w:color w:val="auto"/>
          <w:highlight w:val="none"/>
        </w:rPr>
        <w:t>五、部门单位整体支出绩效情况</w:t>
      </w:r>
    </w:p>
    <w:p>
      <w:pPr>
        <w:ind w:firstLine="560"/>
        <w:rPr>
          <w:color w:val="auto"/>
          <w:highlight w:val="none"/>
        </w:rPr>
      </w:pPr>
      <w:r>
        <w:rPr>
          <w:rFonts w:hint="eastAsia"/>
          <w:color w:val="auto"/>
          <w:highlight w:val="none"/>
        </w:rPr>
        <w:t>部门单位整体支出共设置一级指标3个，二级指标10个，三级指标24个，其中已完成三级指标23个，指标完成率为95.83%。</w:t>
      </w:r>
    </w:p>
    <w:p>
      <w:pPr>
        <w:pStyle w:val="2"/>
        <w:ind w:firstLine="562"/>
        <w:rPr>
          <w:color w:val="auto"/>
          <w:highlight w:val="none"/>
        </w:rPr>
      </w:pPr>
      <w:r>
        <w:rPr>
          <w:rFonts w:hint="eastAsia"/>
          <w:color w:val="auto"/>
          <w:highlight w:val="none"/>
        </w:rPr>
        <w:t>1.产出指标完成情况分析</w:t>
      </w:r>
    </w:p>
    <w:p>
      <w:pPr>
        <w:ind w:firstLine="560"/>
        <w:rPr>
          <w:color w:val="auto"/>
          <w:highlight w:val="none"/>
        </w:rPr>
      </w:pPr>
      <w:r>
        <w:rPr>
          <w:rFonts w:hint="eastAsia"/>
          <w:color w:val="auto"/>
          <w:highlight w:val="none"/>
        </w:rPr>
        <w:t>（1）数量指标</w:t>
      </w:r>
    </w:p>
    <w:p>
      <w:pPr>
        <w:pStyle w:val="15"/>
        <w:ind w:left="420" w:firstLine="560"/>
        <w:rPr>
          <w:color w:val="auto"/>
          <w:highlight w:val="none"/>
        </w:rPr>
      </w:pPr>
      <w:r>
        <w:rPr>
          <w:rFonts w:hint="eastAsia"/>
          <w:color w:val="auto"/>
          <w:highlight w:val="none"/>
        </w:rPr>
        <w:t>“保障人员人数（人）”指标：预期指标值为877，实际完成指标值为861，指标完成率为98.18%;</w:t>
      </w:r>
    </w:p>
    <w:p>
      <w:pPr>
        <w:pStyle w:val="15"/>
        <w:ind w:left="420" w:firstLine="560"/>
        <w:rPr>
          <w:color w:val="auto"/>
          <w:highlight w:val="none"/>
        </w:rPr>
      </w:pPr>
      <w:r>
        <w:rPr>
          <w:rFonts w:hint="eastAsia"/>
          <w:color w:val="auto"/>
          <w:highlight w:val="none"/>
        </w:rPr>
        <w:t>“保障车辆数（辆）”指标：预期指标值为8，实际完成指标值为8，指标完成率为100%;</w:t>
      </w:r>
    </w:p>
    <w:p>
      <w:pPr>
        <w:pStyle w:val="15"/>
        <w:ind w:left="420" w:firstLine="560"/>
        <w:rPr>
          <w:color w:val="auto"/>
          <w:highlight w:val="none"/>
        </w:rPr>
      </w:pPr>
      <w:r>
        <w:rPr>
          <w:rFonts w:hint="eastAsia"/>
          <w:color w:val="auto"/>
          <w:highlight w:val="none"/>
        </w:rPr>
        <w:t>“新增教学仪器设备耗材数”指标：预期指标值为≥60500件，实际完成指标值为71020件，指标完成率为100%;</w:t>
      </w:r>
    </w:p>
    <w:p>
      <w:pPr>
        <w:pStyle w:val="15"/>
        <w:ind w:left="420" w:firstLine="560"/>
        <w:rPr>
          <w:color w:val="auto"/>
          <w:highlight w:val="none"/>
        </w:rPr>
      </w:pPr>
      <w:r>
        <w:rPr>
          <w:rFonts w:hint="eastAsia"/>
          <w:color w:val="auto"/>
          <w:highlight w:val="none"/>
        </w:rPr>
        <w:t>“社会培训人数”指标：预期指标值为≥1000人次，实际完成指标值为1500人次，指标完成率为100%;</w:t>
      </w:r>
    </w:p>
    <w:p>
      <w:pPr>
        <w:numPr>
          <w:ilvl w:val="0"/>
          <w:numId w:val="4"/>
        </w:numPr>
        <w:ind w:firstLine="560"/>
        <w:rPr>
          <w:color w:val="auto"/>
          <w:highlight w:val="none"/>
        </w:rPr>
      </w:pPr>
      <w:r>
        <w:rPr>
          <w:rFonts w:hint="eastAsia"/>
          <w:color w:val="auto"/>
          <w:highlight w:val="none"/>
        </w:rPr>
        <w:t>质量指标</w:t>
      </w:r>
    </w:p>
    <w:p>
      <w:pPr>
        <w:ind w:firstLine="560"/>
        <w:rPr>
          <w:color w:val="auto"/>
          <w:highlight w:val="none"/>
        </w:rPr>
      </w:pPr>
      <w:r>
        <w:rPr>
          <w:rFonts w:hint="eastAsia"/>
          <w:color w:val="auto"/>
          <w:highlight w:val="none"/>
        </w:rPr>
        <w:t>“保障发放率”指标：预期指标值为100%，实际完成指标值为100%，指标完成率为100%;</w:t>
      </w:r>
    </w:p>
    <w:p>
      <w:pPr>
        <w:ind w:firstLine="560"/>
        <w:rPr>
          <w:color w:val="auto"/>
          <w:highlight w:val="none"/>
        </w:rPr>
      </w:pPr>
      <w:r>
        <w:rPr>
          <w:rFonts w:hint="eastAsia"/>
          <w:color w:val="auto"/>
          <w:highlight w:val="none"/>
        </w:rPr>
        <w:t>“人员考核合格率”指标：预期指标值为≥90%，实际完成指标值为98%，指标完成率为100%;</w:t>
      </w:r>
    </w:p>
    <w:p>
      <w:pPr>
        <w:ind w:firstLine="560"/>
        <w:rPr>
          <w:color w:val="auto"/>
          <w:highlight w:val="none"/>
        </w:rPr>
      </w:pPr>
      <w:r>
        <w:rPr>
          <w:rFonts w:hint="eastAsia"/>
          <w:color w:val="auto"/>
          <w:highlight w:val="none"/>
        </w:rPr>
        <w:t>“中职学生受助面”指标：预期指标值为=100%，实际完成指标值为100%，指标完成率为100%;</w:t>
      </w:r>
    </w:p>
    <w:p>
      <w:pPr>
        <w:ind w:firstLine="560"/>
        <w:rPr>
          <w:color w:val="auto"/>
          <w:highlight w:val="none"/>
        </w:rPr>
      </w:pPr>
      <w:r>
        <w:rPr>
          <w:rFonts w:hint="eastAsia"/>
          <w:color w:val="auto"/>
          <w:highlight w:val="none"/>
        </w:rPr>
        <w:t>“高职学生助学金受助面”指标：预期指标值为≥30%，实际完成指标值为30%，指标完成率为100%;</w:t>
      </w:r>
    </w:p>
    <w:p>
      <w:pPr>
        <w:numPr>
          <w:ilvl w:val="0"/>
          <w:numId w:val="4"/>
        </w:numPr>
        <w:ind w:firstLine="560"/>
        <w:rPr>
          <w:color w:val="auto"/>
          <w:highlight w:val="none"/>
        </w:rPr>
      </w:pPr>
      <w:r>
        <w:rPr>
          <w:rFonts w:hint="eastAsia"/>
          <w:color w:val="auto"/>
          <w:highlight w:val="none"/>
        </w:rPr>
        <w:t>时效指标</w:t>
      </w:r>
    </w:p>
    <w:p>
      <w:pPr>
        <w:ind w:firstLine="560"/>
        <w:rPr>
          <w:color w:val="auto"/>
          <w:highlight w:val="none"/>
        </w:rPr>
      </w:pPr>
      <w:r>
        <w:rPr>
          <w:rFonts w:hint="eastAsia"/>
          <w:color w:val="auto"/>
          <w:highlight w:val="none"/>
        </w:rPr>
        <w:t>“个人保障发放及时率”指标：预期指标值为100%，实际完成指标值为100%，指标完成率为100%;</w:t>
      </w:r>
    </w:p>
    <w:p>
      <w:pPr>
        <w:ind w:firstLine="560"/>
        <w:rPr>
          <w:color w:val="auto"/>
          <w:highlight w:val="none"/>
        </w:rPr>
      </w:pPr>
      <w:r>
        <w:rPr>
          <w:rFonts w:hint="eastAsia"/>
          <w:color w:val="auto"/>
          <w:highlight w:val="none"/>
        </w:rPr>
        <w:t>“专项补助按期发放率”指标：预期指标值为≥90%，实际完成指标值为100%，指标完成率为100%;</w:t>
      </w:r>
    </w:p>
    <w:p>
      <w:pPr>
        <w:numPr>
          <w:ilvl w:val="0"/>
          <w:numId w:val="4"/>
        </w:numPr>
        <w:ind w:firstLine="560"/>
        <w:rPr>
          <w:color w:val="auto"/>
          <w:highlight w:val="none"/>
        </w:rPr>
      </w:pPr>
      <w:r>
        <w:rPr>
          <w:rFonts w:hint="eastAsia"/>
          <w:color w:val="auto"/>
          <w:highlight w:val="none"/>
        </w:rPr>
        <w:t>成本指标</w:t>
      </w:r>
    </w:p>
    <w:p>
      <w:pPr>
        <w:ind w:firstLine="560"/>
        <w:rPr>
          <w:color w:val="auto"/>
          <w:highlight w:val="none"/>
        </w:rPr>
      </w:pPr>
      <w:r>
        <w:rPr>
          <w:rFonts w:hint="eastAsia"/>
          <w:color w:val="auto"/>
          <w:highlight w:val="none"/>
        </w:rPr>
        <w:t>“工资福利支出”指标：预期指标值为≤7977.7万元，实际完成指标值为7765.79万元，指标完成率为100%;</w:t>
      </w:r>
    </w:p>
    <w:p>
      <w:pPr>
        <w:ind w:firstLine="560"/>
        <w:rPr>
          <w:color w:val="auto"/>
          <w:highlight w:val="none"/>
        </w:rPr>
      </w:pPr>
      <w:r>
        <w:rPr>
          <w:rFonts w:hint="eastAsia"/>
          <w:color w:val="auto"/>
          <w:highlight w:val="none"/>
        </w:rPr>
        <w:t>“商品服务支出”指标：预期指标值为≤2228.57万元，实际完成指标值为1554.25万元，指标完成率为100%;</w:t>
      </w:r>
    </w:p>
    <w:p>
      <w:pPr>
        <w:ind w:firstLine="560"/>
        <w:rPr>
          <w:color w:val="auto"/>
          <w:highlight w:val="none"/>
        </w:rPr>
      </w:pPr>
      <w:r>
        <w:rPr>
          <w:rFonts w:hint="eastAsia"/>
          <w:color w:val="auto"/>
          <w:highlight w:val="none"/>
        </w:rPr>
        <w:t>“对个人和家庭补助支出”指标：预期指标值为≤1092.17万元，实际完成指标值为338.83万元，指标完成率为100%;</w:t>
      </w:r>
    </w:p>
    <w:p>
      <w:pPr>
        <w:ind w:firstLine="560"/>
        <w:rPr>
          <w:color w:val="auto"/>
          <w:highlight w:val="none"/>
        </w:rPr>
      </w:pPr>
      <w:r>
        <w:rPr>
          <w:rFonts w:hint="eastAsia"/>
          <w:color w:val="auto"/>
          <w:highlight w:val="none"/>
        </w:rPr>
        <w:t>“其他资本性支出”指标：预期指标值为≤55.65万元，实际完成指标值为55.65万元，指标完成率为100%;</w:t>
      </w:r>
    </w:p>
    <w:p>
      <w:pPr>
        <w:ind w:firstLine="560"/>
        <w:rPr>
          <w:color w:val="auto"/>
          <w:highlight w:val="none"/>
        </w:rPr>
      </w:pPr>
      <w:r>
        <w:rPr>
          <w:rFonts w:hint="eastAsia"/>
          <w:color w:val="auto"/>
          <w:highlight w:val="none"/>
        </w:rPr>
        <w:t>“物资设备采购成本节约率”指标：预期指标值为≥10%，实际完成指标值为10%，指标完成率为100%;</w:t>
      </w:r>
    </w:p>
    <w:p>
      <w:pPr>
        <w:ind w:firstLine="560"/>
        <w:rPr>
          <w:color w:val="auto"/>
          <w:highlight w:val="none"/>
        </w:rPr>
      </w:pPr>
      <w:r>
        <w:rPr>
          <w:rFonts w:hint="eastAsia"/>
          <w:color w:val="auto"/>
          <w:highlight w:val="none"/>
        </w:rPr>
        <w:t>“接受中职助学金资助学生发放标准”指标：预期指标值为2000元/每生每年，实际完成指标值为2000元/每生每年，指标完成率为100%;</w:t>
      </w:r>
    </w:p>
    <w:p>
      <w:pPr>
        <w:pStyle w:val="2"/>
        <w:ind w:firstLine="562"/>
        <w:rPr>
          <w:color w:val="auto"/>
          <w:highlight w:val="none"/>
        </w:rPr>
      </w:pPr>
      <w:r>
        <w:rPr>
          <w:rFonts w:hint="eastAsia"/>
          <w:color w:val="auto"/>
          <w:highlight w:val="none"/>
        </w:rPr>
        <w:t>2.效益指标完成情况分析</w:t>
      </w:r>
    </w:p>
    <w:p>
      <w:pPr>
        <w:ind w:firstLine="560"/>
        <w:rPr>
          <w:color w:val="auto"/>
          <w:highlight w:val="none"/>
        </w:rPr>
      </w:pPr>
      <w:r>
        <w:rPr>
          <w:rFonts w:hint="eastAsia"/>
          <w:color w:val="auto"/>
          <w:highlight w:val="none"/>
        </w:rPr>
        <w:t>（1）经济效益</w:t>
      </w:r>
    </w:p>
    <w:p>
      <w:pPr>
        <w:ind w:firstLine="560"/>
        <w:rPr>
          <w:color w:val="auto"/>
          <w:highlight w:val="none"/>
        </w:rPr>
      </w:pPr>
      <w:r>
        <w:rPr>
          <w:rFonts w:hint="eastAsia"/>
          <w:color w:val="auto"/>
          <w:highlight w:val="none"/>
        </w:rPr>
        <w:t>“中职受补助学生家庭减轻经济负担”指标：预期指标值为4900元/年/生，实际完成指标值为4900元/年/生，指标完成率为100%;</w:t>
      </w:r>
    </w:p>
    <w:p>
      <w:pPr>
        <w:ind w:firstLine="560"/>
        <w:rPr>
          <w:color w:val="auto"/>
          <w:highlight w:val="none"/>
        </w:rPr>
      </w:pPr>
      <w:r>
        <w:rPr>
          <w:rFonts w:hint="eastAsia"/>
          <w:color w:val="auto"/>
          <w:highlight w:val="none"/>
        </w:rPr>
        <w:t>（2）社会效益</w:t>
      </w:r>
    </w:p>
    <w:p>
      <w:pPr>
        <w:ind w:firstLine="560"/>
        <w:rPr>
          <w:color w:val="auto"/>
          <w:highlight w:val="none"/>
        </w:rPr>
      </w:pPr>
      <w:r>
        <w:rPr>
          <w:rFonts w:hint="eastAsia"/>
          <w:color w:val="auto"/>
          <w:highlight w:val="none"/>
        </w:rPr>
        <w:t>“学生辍学率”指标：预期指标值为≤1%，实际完成指标值为0.3%，指标完成率为100%;</w:t>
      </w:r>
    </w:p>
    <w:p>
      <w:pPr>
        <w:ind w:firstLine="560"/>
        <w:rPr>
          <w:color w:val="auto"/>
          <w:highlight w:val="none"/>
        </w:rPr>
      </w:pPr>
      <w:r>
        <w:rPr>
          <w:rFonts w:hint="eastAsia"/>
          <w:color w:val="auto"/>
          <w:highlight w:val="none"/>
        </w:rPr>
        <w:t>（3）生态效益</w:t>
      </w:r>
    </w:p>
    <w:p>
      <w:pPr>
        <w:ind w:firstLine="560"/>
        <w:rPr>
          <w:color w:val="auto"/>
          <w:highlight w:val="none"/>
        </w:rPr>
      </w:pPr>
      <w:r>
        <w:rPr>
          <w:rFonts w:hint="eastAsia"/>
          <w:color w:val="auto"/>
          <w:highlight w:val="none"/>
        </w:rPr>
        <w:t>“校园绿化面积”指标：预期指标值为≥400亩，实际完成指标值为580亩，指标完成率为100%;</w:t>
      </w:r>
    </w:p>
    <w:p>
      <w:pPr>
        <w:ind w:firstLine="560"/>
        <w:rPr>
          <w:color w:val="auto"/>
          <w:highlight w:val="none"/>
        </w:rPr>
      </w:pPr>
      <w:r>
        <w:rPr>
          <w:rFonts w:hint="eastAsia"/>
          <w:color w:val="auto"/>
          <w:highlight w:val="none"/>
        </w:rPr>
        <w:t>（4）可持续影响</w:t>
      </w:r>
    </w:p>
    <w:p>
      <w:pPr>
        <w:ind w:firstLine="560"/>
        <w:rPr>
          <w:color w:val="auto"/>
          <w:highlight w:val="none"/>
        </w:rPr>
      </w:pPr>
      <w:r>
        <w:rPr>
          <w:rFonts w:hint="eastAsia"/>
          <w:color w:val="auto"/>
          <w:highlight w:val="none"/>
        </w:rPr>
        <w:t>“中职生就业率”指标：预期指标值为≥85%，实际完成指标值为95%，指标完成率为100%;</w:t>
      </w:r>
    </w:p>
    <w:p>
      <w:pPr>
        <w:ind w:firstLine="560"/>
        <w:rPr>
          <w:color w:val="auto"/>
          <w:highlight w:val="none"/>
        </w:rPr>
      </w:pPr>
      <w:r>
        <w:rPr>
          <w:rFonts w:hint="eastAsia"/>
          <w:color w:val="auto"/>
          <w:highlight w:val="none"/>
        </w:rPr>
        <w:t>“高职生就业率”指标：预期指标值为≥90%，实际完成指标值为92%，指标完成率为100%;</w:t>
      </w:r>
    </w:p>
    <w:p>
      <w:pPr>
        <w:pStyle w:val="2"/>
        <w:ind w:firstLine="562"/>
        <w:rPr>
          <w:color w:val="auto"/>
          <w:highlight w:val="none"/>
        </w:rPr>
      </w:pPr>
      <w:r>
        <w:rPr>
          <w:rFonts w:hint="eastAsia"/>
          <w:color w:val="auto"/>
          <w:highlight w:val="none"/>
        </w:rPr>
        <w:t>3.满意度指标完成情况分析。</w:t>
      </w:r>
    </w:p>
    <w:p>
      <w:pPr>
        <w:ind w:firstLine="560"/>
        <w:rPr>
          <w:color w:val="auto"/>
          <w:highlight w:val="none"/>
        </w:rPr>
      </w:pPr>
      <w:r>
        <w:rPr>
          <w:rFonts w:hint="eastAsia"/>
          <w:color w:val="auto"/>
          <w:highlight w:val="none"/>
        </w:rPr>
        <w:t>“学生满意度”指标：预期指标值为≥90%，实际完成指标值为92%，指标完成率为100%;</w:t>
      </w:r>
    </w:p>
    <w:p>
      <w:pPr>
        <w:ind w:firstLine="560"/>
        <w:rPr>
          <w:color w:val="auto"/>
          <w:highlight w:val="none"/>
        </w:rPr>
      </w:pPr>
      <w:r>
        <w:rPr>
          <w:rFonts w:hint="eastAsia"/>
          <w:color w:val="auto"/>
          <w:highlight w:val="none"/>
        </w:rPr>
        <w:t>“家长满意度”指标：预期指标值为≥90%，实际完成指标值为95%，指标完成率为100%;</w:t>
      </w:r>
    </w:p>
    <w:p>
      <w:pPr>
        <w:ind w:firstLine="560"/>
        <w:rPr>
          <w:color w:val="auto"/>
          <w:highlight w:val="none"/>
        </w:rPr>
      </w:pPr>
      <w:r>
        <w:rPr>
          <w:rFonts w:hint="eastAsia"/>
          <w:color w:val="auto"/>
          <w:highlight w:val="none"/>
        </w:rPr>
        <w:t>“教职工满意度”指标：预期指标值为≥90%，实际完成指标值为93%，指标完成率为100%;</w:t>
      </w:r>
    </w:p>
    <w:p>
      <w:pPr>
        <w:pStyle w:val="3"/>
        <w:ind w:firstLine="562"/>
        <w:rPr>
          <w:color w:val="auto"/>
          <w:highlight w:val="none"/>
        </w:rPr>
      </w:pPr>
      <w:r>
        <w:rPr>
          <w:rFonts w:hint="eastAsia"/>
          <w:color w:val="auto"/>
          <w:highlight w:val="none"/>
        </w:rPr>
        <w:t>六、存在的主要问题</w:t>
      </w:r>
    </w:p>
    <w:p>
      <w:pPr>
        <w:ind w:firstLine="560"/>
        <w:rPr>
          <w:color w:val="auto"/>
          <w:highlight w:val="none"/>
        </w:rPr>
      </w:pPr>
      <w:r>
        <w:rPr>
          <w:rFonts w:hint="eastAsia"/>
          <w:color w:val="auto"/>
          <w:highlight w:val="none"/>
        </w:rPr>
        <w:t>2019年本单位整体支出绩效目标“保障人员人数（人）”指标：预期指标值为877，实际完成指标值为861，指标完成率为98.18%;未完成的原因为2019年末部分教职工退休、调出、辞职，所以教职工人数较少。</w:t>
      </w:r>
    </w:p>
    <w:p>
      <w:pPr>
        <w:pStyle w:val="3"/>
        <w:ind w:firstLine="562"/>
        <w:rPr>
          <w:color w:val="auto"/>
          <w:highlight w:val="none"/>
        </w:rPr>
      </w:pPr>
      <w:r>
        <w:rPr>
          <w:rFonts w:hint="eastAsia"/>
          <w:color w:val="auto"/>
          <w:highlight w:val="none"/>
        </w:rPr>
        <w:t>七、改进措施和建议</w:t>
      </w:r>
    </w:p>
    <w:p>
      <w:pPr>
        <w:ind w:firstLine="560" w:firstLineChars="0"/>
        <w:rPr>
          <w:color w:val="auto"/>
          <w:highlight w:val="none"/>
        </w:rPr>
      </w:pPr>
      <w:r>
        <w:rPr>
          <w:rFonts w:hint="eastAsia"/>
          <w:color w:val="auto"/>
          <w:highlight w:val="none"/>
        </w:rPr>
        <w:t>存在的问题：部分项目支出进度未能按照全年序时进度执行，上半年与下半年项目进度差异较大。</w:t>
      </w:r>
    </w:p>
    <w:p>
      <w:pPr>
        <w:ind w:firstLine="560" w:firstLineChars="0"/>
        <w:rPr>
          <w:color w:val="auto"/>
          <w:highlight w:val="none"/>
        </w:rPr>
      </w:pPr>
      <w:r>
        <w:rPr>
          <w:rFonts w:hint="eastAsia"/>
          <w:color w:val="auto"/>
          <w:highlight w:val="none"/>
        </w:rPr>
        <w:t>改进措施：详细制定项目执行计划，按照项目的周期及特点安排项目资金，使项目合理高效完成。</w:t>
      </w:r>
    </w:p>
    <w:p>
      <w:pPr>
        <w:pStyle w:val="3"/>
        <w:numPr>
          <w:ilvl w:val="0"/>
          <w:numId w:val="5"/>
        </w:numPr>
        <w:ind w:firstLine="562"/>
        <w:rPr>
          <w:color w:val="auto"/>
          <w:highlight w:val="none"/>
        </w:rPr>
      </w:pPr>
      <w:r>
        <w:rPr>
          <w:rFonts w:hint="eastAsia"/>
          <w:color w:val="auto"/>
          <w:highlight w:val="none"/>
        </w:rPr>
        <w:t>附表</w:t>
      </w:r>
    </w:p>
    <w:p>
      <w:pPr>
        <w:ind w:firstLine="560"/>
        <w:rPr>
          <w:color w:val="auto"/>
          <w:highlight w:val="none"/>
        </w:rPr>
      </w:pPr>
      <w:r>
        <w:rPr>
          <w:rFonts w:hint="eastAsia"/>
          <w:color w:val="auto"/>
          <w:highlight w:val="none"/>
        </w:rPr>
        <w:t>《部门整体支出绩效目标自评表》</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中宋">
    <w:altName w:val="hakuyoxingshu7000"/>
    <w:panose1 w:val="00000000000000000000"/>
    <w:charset w:val="86"/>
    <w:family w:val="auto"/>
    <w:pitch w:val="default"/>
    <w:sig w:usb0="00000000" w:usb1="00000000" w:usb2="00000000" w:usb3="00000000" w:csb0="0004009F" w:csb1="DFD70000"/>
  </w:font>
  <w:font w:name="方正小标宋_GBK">
    <w:altName w:val="微软雅黑"/>
    <w:panose1 w:val="00000000000000000000"/>
    <w:charset w:val="00"/>
    <w:family w:val="auto"/>
    <w:pitch w:val="default"/>
    <w:sig w:usb0="00000000" w:usb1="00000000" w:usb2="00000000" w:usb3="00000000" w:csb0="00040001" w:csb1="00000000"/>
  </w:font>
  <w:font w:name="Malgun Gothic Semilight">
    <w:altName w:val="宋体"/>
    <w:panose1 w:val="00000000000000000000"/>
    <w:charset w:val="86"/>
    <w:family w:val="swiss"/>
    <w:pitch w:val="default"/>
    <w:sig w:usb0="00000000" w:usb1="00000000" w:usb2="00000012" w:usb3="00000000" w:csb0="203E01BD" w:csb1="D7FF0000"/>
  </w:font>
  <w:font w:name="Cambria">
    <w:panose1 w:val="02040503050406030204"/>
    <w:charset w:val="00"/>
    <w:family w:val="roman"/>
    <w:pitch w:val="default"/>
    <w:sig w:usb0="E00002FF" w:usb1="400004FF" w:usb2="00000000" w:usb3="00000000" w:csb0="2000019F" w:csb1="00000000"/>
  </w:font>
  <w:font w:name="hakuyoxingshu7000">
    <w:panose1 w:val="02000600000000000000"/>
    <w:charset w:val="86"/>
    <w:family w:val="auto"/>
    <w:pitch w:val="default"/>
    <w:sig w:usb0="FFFFFFFF" w:usb1="E9FFFFFF" w:usb2="0000003F" w:usb3="00000000" w:csb0="603F00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0BA70C"/>
    <w:multiLevelType w:val="singleLevel"/>
    <w:tmpl w:val="8D0BA70C"/>
    <w:lvl w:ilvl="0" w:tentative="0">
      <w:start w:val="3"/>
      <w:numFmt w:val="chineseCounting"/>
      <w:suff w:val="nothing"/>
      <w:lvlText w:val="%1、"/>
      <w:lvlJc w:val="left"/>
      <w:rPr>
        <w:rFonts w:hint="eastAsia"/>
      </w:rPr>
    </w:lvl>
  </w:abstractNum>
  <w:abstractNum w:abstractNumId="1">
    <w:nsid w:val="C89E9E66"/>
    <w:multiLevelType w:val="singleLevel"/>
    <w:tmpl w:val="C89E9E66"/>
    <w:lvl w:ilvl="0" w:tentative="0">
      <w:start w:val="8"/>
      <w:numFmt w:val="chineseCounting"/>
      <w:suff w:val="nothing"/>
      <w:lvlText w:val="%1、"/>
      <w:lvlJc w:val="left"/>
      <w:rPr>
        <w:rFonts w:hint="eastAsia"/>
      </w:rPr>
    </w:lvl>
  </w:abstractNum>
  <w:abstractNum w:abstractNumId="2">
    <w:nsid w:val="F68CBA3B"/>
    <w:multiLevelType w:val="singleLevel"/>
    <w:tmpl w:val="F68CBA3B"/>
    <w:lvl w:ilvl="0" w:tentative="0">
      <w:start w:val="2"/>
      <w:numFmt w:val="decimal"/>
      <w:suff w:val="nothing"/>
      <w:lvlText w:val="（%1）"/>
      <w:lvlJc w:val="left"/>
    </w:lvl>
  </w:abstractNum>
  <w:abstractNum w:abstractNumId="3">
    <w:nsid w:val="264C147F"/>
    <w:multiLevelType w:val="singleLevel"/>
    <w:tmpl w:val="264C147F"/>
    <w:lvl w:ilvl="0" w:tentative="0">
      <w:start w:val="3"/>
      <w:numFmt w:val="decimal"/>
      <w:suff w:val="nothing"/>
      <w:lvlText w:val="（%1）"/>
      <w:lvlJc w:val="left"/>
    </w:lvl>
  </w:abstractNum>
  <w:abstractNum w:abstractNumId="4">
    <w:nsid w:val="68E8C5BF"/>
    <w:multiLevelType w:val="singleLevel"/>
    <w:tmpl w:val="68E8C5BF"/>
    <w:lvl w:ilvl="0" w:tentative="0">
      <w:start w:val="2"/>
      <w:numFmt w:val="decimal"/>
      <w:suff w:val="nothing"/>
      <w:lvlText w:val="%1、"/>
      <w:lvlJc w:val="left"/>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3D7289"/>
    <w:rsid w:val="00004729"/>
    <w:rsid w:val="00010562"/>
    <w:rsid w:val="00054FD8"/>
    <w:rsid w:val="00056128"/>
    <w:rsid w:val="000752A4"/>
    <w:rsid w:val="000804B6"/>
    <w:rsid w:val="00082B1C"/>
    <w:rsid w:val="000D271D"/>
    <w:rsid w:val="000D77BB"/>
    <w:rsid w:val="000E164C"/>
    <w:rsid w:val="001010C1"/>
    <w:rsid w:val="00146405"/>
    <w:rsid w:val="00156AC8"/>
    <w:rsid w:val="0018123B"/>
    <w:rsid w:val="001A77EB"/>
    <w:rsid w:val="001E1BD7"/>
    <w:rsid w:val="00223387"/>
    <w:rsid w:val="0025705C"/>
    <w:rsid w:val="00280929"/>
    <w:rsid w:val="002A5736"/>
    <w:rsid w:val="002C589B"/>
    <w:rsid w:val="002C6BED"/>
    <w:rsid w:val="002E6E52"/>
    <w:rsid w:val="002F73E9"/>
    <w:rsid w:val="003043D0"/>
    <w:rsid w:val="00323676"/>
    <w:rsid w:val="003D7289"/>
    <w:rsid w:val="003D768A"/>
    <w:rsid w:val="003F3ECC"/>
    <w:rsid w:val="00401BF4"/>
    <w:rsid w:val="00415F6E"/>
    <w:rsid w:val="004322A7"/>
    <w:rsid w:val="004562D7"/>
    <w:rsid w:val="00491013"/>
    <w:rsid w:val="004A559E"/>
    <w:rsid w:val="004B20F2"/>
    <w:rsid w:val="004B7FE3"/>
    <w:rsid w:val="004D249D"/>
    <w:rsid w:val="004E01E2"/>
    <w:rsid w:val="004E796D"/>
    <w:rsid w:val="004F1C34"/>
    <w:rsid w:val="005313C1"/>
    <w:rsid w:val="005801D1"/>
    <w:rsid w:val="00590133"/>
    <w:rsid w:val="005A302B"/>
    <w:rsid w:val="005C5B2E"/>
    <w:rsid w:val="006065EF"/>
    <w:rsid w:val="0061631C"/>
    <w:rsid w:val="00643483"/>
    <w:rsid w:val="00686E59"/>
    <w:rsid w:val="006E3A6E"/>
    <w:rsid w:val="006F1DA1"/>
    <w:rsid w:val="00756C63"/>
    <w:rsid w:val="00773976"/>
    <w:rsid w:val="007F2FE0"/>
    <w:rsid w:val="007F3245"/>
    <w:rsid w:val="00805080"/>
    <w:rsid w:val="00844435"/>
    <w:rsid w:val="008630CA"/>
    <w:rsid w:val="008710C2"/>
    <w:rsid w:val="00872B35"/>
    <w:rsid w:val="00887430"/>
    <w:rsid w:val="0088787D"/>
    <w:rsid w:val="00890FCB"/>
    <w:rsid w:val="008919E4"/>
    <w:rsid w:val="008A208A"/>
    <w:rsid w:val="008A6D6B"/>
    <w:rsid w:val="008C64FB"/>
    <w:rsid w:val="008C651B"/>
    <w:rsid w:val="008D62C2"/>
    <w:rsid w:val="008E1C2C"/>
    <w:rsid w:val="00907D7F"/>
    <w:rsid w:val="00922CE7"/>
    <w:rsid w:val="00950783"/>
    <w:rsid w:val="009821EE"/>
    <w:rsid w:val="00994041"/>
    <w:rsid w:val="009C1263"/>
    <w:rsid w:val="009C60FB"/>
    <w:rsid w:val="009F154B"/>
    <w:rsid w:val="00A0251B"/>
    <w:rsid w:val="00A42A3E"/>
    <w:rsid w:val="00A44E46"/>
    <w:rsid w:val="00A455AE"/>
    <w:rsid w:val="00A50F45"/>
    <w:rsid w:val="00A61F7E"/>
    <w:rsid w:val="00A82B6F"/>
    <w:rsid w:val="00A8787F"/>
    <w:rsid w:val="00A95DA0"/>
    <w:rsid w:val="00AA0B1E"/>
    <w:rsid w:val="00AA5EC9"/>
    <w:rsid w:val="00B01D69"/>
    <w:rsid w:val="00B03972"/>
    <w:rsid w:val="00B06107"/>
    <w:rsid w:val="00B32B3E"/>
    <w:rsid w:val="00B337C7"/>
    <w:rsid w:val="00B65347"/>
    <w:rsid w:val="00B85B9D"/>
    <w:rsid w:val="00BD228D"/>
    <w:rsid w:val="00C51266"/>
    <w:rsid w:val="00C57350"/>
    <w:rsid w:val="00C64C56"/>
    <w:rsid w:val="00CE1F55"/>
    <w:rsid w:val="00CF5A4A"/>
    <w:rsid w:val="00D221E3"/>
    <w:rsid w:val="00D27502"/>
    <w:rsid w:val="00D342EC"/>
    <w:rsid w:val="00D36E02"/>
    <w:rsid w:val="00D43972"/>
    <w:rsid w:val="00D54073"/>
    <w:rsid w:val="00D70E3E"/>
    <w:rsid w:val="00D80C05"/>
    <w:rsid w:val="00D96E47"/>
    <w:rsid w:val="00DF5E81"/>
    <w:rsid w:val="00E07D71"/>
    <w:rsid w:val="00E14597"/>
    <w:rsid w:val="00E34FA4"/>
    <w:rsid w:val="00E44BC3"/>
    <w:rsid w:val="00E4543B"/>
    <w:rsid w:val="00E51064"/>
    <w:rsid w:val="00E90AB8"/>
    <w:rsid w:val="00E92464"/>
    <w:rsid w:val="00EB0BDE"/>
    <w:rsid w:val="00EB12CC"/>
    <w:rsid w:val="00EC062A"/>
    <w:rsid w:val="00EC4573"/>
    <w:rsid w:val="00ED51B9"/>
    <w:rsid w:val="00EF5FD0"/>
    <w:rsid w:val="00EF721B"/>
    <w:rsid w:val="00F529C0"/>
    <w:rsid w:val="00FE703A"/>
    <w:rsid w:val="00FF26A9"/>
    <w:rsid w:val="04CD424B"/>
    <w:rsid w:val="0A3958A0"/>
    <w:rsid w:val="228D082E"/>
    <w:rsid w:val="22E3687E"/>
    <w:rsid w:val="26141D4F"/>
    <w:rsid w:val="33092770"/>
    <w:rsid w:val="360941E8"/>
    <w:rsid w:val="395C4E4C"/>
    <w:rsid w:val="56F140E9"/>
    <w:rsid w:val="5BFF2AD9"/>
    <w:rsid w:val="5E1C17B6"/>
    <w:rsid w:val="610463A8"/>
    <w:rsid w:val="69FB6495"/>
    <w:rsid w:val="6AAE13F4"/>
    <w:rsid w:val="6CC70826"/>
    <w:rsid w:val="6CF806B9"/>
    <w:rsid w:val="70E95E6A"/>
    <w:rsid w:val="7F5604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200" w:firstLineChars="200"/>
      <w:jc w:val="both"/>
    </w:pPr>
    <w:rPr>
      <w:rFonts w:ascii="仿宋" w:hAnsi="仿宋" w:eastAsia="仿宋" w:cs="Times New Roman"/>
      <w:kern w:val="2"/>
      <w:sz w:val="28"/>
      <w:szCs w:val="24"/>
      <w:lang w:val="en-US" w:eastAsia="zh-CN" w:bidi="ar-SA"/>
    </w:rPr>
  </w:style>
  <w:style w:type="paragraph" w:styleId="3">
    <w:name w:val="heading 1"/>
    <w:basedOn w:val="1"/>
    <w:next w:val="1"/>
    <w:qFormat/>
    <w:uiPriority w:val="0"/>
    <w:pPr>
      <w:keepNext/>
      <w:keepLines/>
      <w:jc w:val="left"/>
      <w:outlineLvl w:val="0"/>
    </w:pPr>
    <w:rPr>
      <w:rFonts w:ascii="宋体" w:hAnsi="宋体" w:eastAsia="黑体"/>
      <w:b/>
      <w:bCs/>
      <w:kern w:val="44"/>
      <w:szCs w:val="44"/>
    </w:rPr>
  </w:style>
  <w:style w:type="paragraph" w:styleId="4">
    <w:name w:val="heading 2"/>
    <w:basedOn w:val="1"/>
    <w:next w:val="1"/>
    <w:unhideWhenUsed/>
    <w:qFormat/>
    <w:uiPriority w:val="0"/>
    <w:pPr>
      <w:keepNext/>
      <w:keepLines/>
      <w:outlineLvl w:val="1"/>
    </w:pPr>
    <w:rPr>
      <w:rFonts w:ascii="Arial" w:hAnsi="Arial" w:eastAsia="楷体"/>
      <w:b/>
      <w:sz w:val="32"/>
    </w:rPr>
  </w:style>
  <w:style w:type="paragraph" w:styleId="2">
    <w:name w:val="heading 3"/>
    <w:basedOn w:val="1"/>
    <w:next w:val="1"/>
    <w:qFormat/>
    <w:uiPriority w:val="0"/>
    <w:pPr>
      <w:keepNext/>
      <w:keepLines/>
      <w:outlineLvl w:val="2"/>
    </w:pPr>
    <w:rPr>
      <w:rFonts w:ascii="仿宋_GB2312" w:hAnsi="仿宋_GB2312" w:eastAsia="仿宋_GB2312"/>
      <w:b/>
      <w:bCs/>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alloon Text"/>
    <w:basedOn w:val="1"/>
    <w:link w:val="14"/>
    <w:qFormat/>
    <w:uiPriority w:val="0"/>
    <w:pPr>
      <w:spacing w:line="240" w:lineRule="auto"/>
    </w:pPr>
    <w:rPr>
      <w:sz w:val="18"/>
      <w:szCs w:val="18"/>
    </w:rPr>
  </w:style>
  <w:style w:type="paragraph" w:styleId="7">
    <w:name w:val="footer"/>
    <w:basedOn w:val="1"/>
    <w:qFormat/>
    <w:uiPriority w:val="99"/>
    <w:pPr>
      <w:tabs>
        <w:tab w:val="center" w:pos="4153"/>
        <w:tab w:val="right" w:pos="8306"/>
      </w:tabs>
      <w:snapToGrid w:val="0"/>
      <w:jc w:val="left"/>
    </w:pPr>
    <w:rPr>
      <w:rFonts w:ascii="Times New Roman" w:hAnsi="Times New Roman"/>
      <w:sz w:val="18"/>
    </w:rPr>
  </w:style>
  <w:style w:type="paragraph" w:styleId="8">
    <w:name w:val="header"/>
    <w:basedOn w:val="1"/>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11">
    <w:name w:val="Strong"/>
    <w:basedOn w:val="10"/>
    <w:qFormat/>
    <w:uiPriority w:val="0"/>
    <w:rPr>
      <w:b/>
      <w:bCs/>
    </w:rPr>
  </w:style>
  <w:style w:type="character" w:styleId="12">
    <w:name w:val="Hyperlink"/>
    <w:basedOn w:val="10"/>
    <w:qFormat/>
    <w:uiPriority w:val="0"/>
    <w:rPr>
      <w:color w:val="0000FF"/>
      <w:u w:val="single"/>
    </w:rPr>
  </w:style>
  <w:style w:type="character" w:styleId="13">
    <w:name w:val="annotation reference"/>
    <w:basedOn w:val="10"/>
    <w:qFormat/>
    <w:uiPriority w:val="0"/>
    <w:rPr>
      <w:sz w:val="21"/>
      <w:szCs w:val="21"/>
    </w:rPr>
  </w:style>
  <w:style w:type="character" w:customStyle="1" w:styleId="14">
    <w:name w:val="批注框文本 Char"/>
    <w:basedOn w:val="10"/>
    <w:link w:val="6"/>
    <w:qFormat/>
    <w:uiPriority w:val="0"/>
    <w:rPr>
      <w:rFonts w:ascii="仿宋" w:hAnsi="仿宋" w:eastAsia="仿宋" w:cs="Times New Roman"/>
      <w:kern w:val="2"/>
      <w:sz w:val="18"/>
      <w:szCs w:val="18"/>
    </w:rPr>
  </w:style>
  <w:style w:type="paragraph" w:styleId="15">
    <w:name w:val="List Paragraph"/>
    <w:basedOn w:val="1"/>
    <w:unhideWhenUsed/>
    <w:uiPriority w:val="99"/>
    <w:pPr>
      <w:ind w:firstLine="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18</Pages>
  <Words>6904</Words>
  <Characters>2648</Characters>
  <Lines>22</Lines>
  <Paragraphs>19</Paragraphs>
  <TotalTime>118</TotalTime>
  <ScaleCrop>false</ScaleCrop>
  <LinksUpToDate>false</LinksUpToDate>
  <CharactersWithSpaces>9533</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2020-05-09T13:34:00Z</dcterms:created>
  <dc:creator>Administrator</dc:creator>
  <cp:lastModifiedBy>appreciate</cp:lastModifiedBy>
  <dcterms:modified xsi:type="dcterms:W3CDTF">2020-05-09T15:14:49Z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